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F90CE" w14:textId="77777777" w:rsidR="00F24EB2" w:rsidRDefault="00F24EB2" w:rsidP="00F24EB2">
      <w:pPr>
        <w:spacing w:after="120" w:line="240" w:lineRule="auto"/>
        <w:jc w:val="center"/>
        <w:rPr>
          <w:rFonts w:ascii="Times New Roman" w:hAnsi="Times New Roman"/>
          <w:b/>
          <w:color w:val="3366CC"/>
          <w:sz w:val="52"/>
          <w:szCs w:val="52"/>
          <w:lang w:eastAsia="en-US"/>
        </w:rPr>
      </w:pPr>
    </w:p>
    <w:p w14:paraId="7842D053" w14:textId="77777777" w:rsidR="00F24EB2" w:rsidRDefault="00F24EB2" w:rsidP="00F24EB2">
      <w:pPr>
        <w:spacing w:after="120" w:line="240" w:lineRule="auto"/>
        <w:jc w:val="center"/>
        <w:rPr>
          <w:rFonts w:ascii="Times New Roman" w:hAnsi="Times New Roman"/>
          <w:b/>
          <w:color w:val="3366CC"/>
          <w:sz w:val="52"/>
          <w:szCs w:val="52"/>
          <w:lang w:eastAsia="en-US"/>
        </w:rPr>
      </w:pPr>
    </w:p>
    <w:p w14:paraId="363F07C6" w14:textId="77777777" w:rsidR="00F24EB2" w:rsidRDefault="00F24EB2" w:rsidP="00F24EB2">
      <w:pPr>
        <w:spacing w:after="120" w:line="240" w:lineRule="auto"/>
        <w:jc w:val="center"/>
        <w:rPr>
          <w:rFonts w:ascii="Times New Roman" w:hAnsi="Times New Roman"/>
          <w:b/>
          <w:color w:val="3366CC"/>
          <w:sz w:val="52"/>
          <w:szCs w:val="52"/>
          <w:lang w:eastAsia="en-US"/>
        </w:rPr>
      </w:pPr>
    </w:p>
    <w:p w14:paraId="2B1A0814" w14:textId="77777777" w:rsidR="00F24EB2" w:rsidRDefault="00F24EB2" w:rsidP="00F24EB2">
      <w:pPr>
        <w:spacing w:after="120" w:line="240" w:lineRule="auto"/>
        <w:jc w:val="center"/>
        <w:rPr>
          <w:rFonts w:ascii="Times New Roman" w:hAnsi="Times New Roman"/>
          <w:b/>
          <w:color w:val="3366CC"/>
          <w:sz w:val="52"/>
          <w:szCs w:val="52"/>
          <w:lang w:eastAsia="en-US"/>
        </w:rPr>
      </w:pPr>
    </w:p>
    <w:p w14:paraId="20B4B63E" w14:textId="2AB2EE05" w:rsidR="00F24EB2" w:rsidRPr="00F24EB2" w:rsidRDefault="00F24EB2" w:rsidP="00F24EB2">
      <w:pPr>
        <w:spacing w:after="120" w:line="240" w:lineRule="auto"/>
        <w:jc w:val="center"/>
        <w:rPr>
          <w:rFonts w:ascii="Times New Roman" w:hAnsi="Times New Roman"/>
          <w:b/>
          <w:color w:val="3366CC"/>
          <w:sz w:val="52"/>
          <w:szCs w:val="52"/>
          <w:lang w:eastAsia="en-US"/>
        </w:rPr>
      </w:pPr>
      <w:r w:rsidRPr="00F24EB2">
        <w:rPr>
          <w:rFonts w:ascii="Times New Roman" w:hAnsi="Times New Roman"/>
          <w:b/>
          <w:color w:val="3366CC"/>
          <w:sz w:val="52"/>
          <w:szCs w:val="52"/>
          <w:lang w:eastAsia="en-US"/>
        </w:rPr>
        <w:t xml:space="preserve">Obrazloženje </w:t>
      </w:r>
      <w:r w:rsidR="00371727">
        <w:rPr>
          <w:rFonts w:ascii="Times New Roman" w:hAnsi="Times New Roman"/>
          <w:b/>
          <w:color w:val="3366CC"/>
          <w:sz w:val="52"/>
          <w:szCs w:val="52"/>
          <w:lang w:eastAsia="en-US"/>
        </w:rPr>
        <w:t xml:space="preserve">općeg dijela </w:t>
      </w:r>
      <w:r w:rsidR="009B28A6">
        <w:rPr>
          <w:rFonts w:ascii="Times New Roman" w:hAnsi="Times New Roman"/>
          <w:b/>
          <w:color w:val="3366CC"/>
          <w:sz w:val="52"/>
          <w:szCs w:val="52"/>
          <w:lang w:eastAsia="en-US"/>
        </w:rPr>
        <w:t xml:space="preserve">Izmjena i dopuna </w:t>
      </w:r>
      <w:r w:rsidRPr="00F24EB2">
        <w:rPr>
          <w:rFonts w:ascii="Times New Roman" w:hAnsi="Times New Roman"/>
          <w:b/>
          <w:color w:val="3366CC"/>
          <w:sz w:val="52"/>
          <w:szCs w:val="52"/>
          <w:lang w:eastAsia="en-US"/>
        </w:rPr>
        <w:t>financijskog plana Sveučilišta Josipa Jurja Strossmayera u Osijeku, Fakulteta turizma i ruralnog razvoja u Požegi za 202</w:t>
      </w:r>
      <w:r w:rsidR="00A3755E">
        <w:rPr>
          <w:rFonts w:ascii="Times New Roman" w:hAnsi="Times New Roman"/>
          <w:b/>
          <w:color w:val="3366CC"/>
          <w:sz w:val="52"/>
          <w:szCs w:val="52"/>
          <w:lang w:eastAsia="en-US"/>
        </w:rPr>
        <w:t>5</w:t>
      </w:r>
      <w:r w:rsidRPr="00F24EB2">
        <w:rPr>
          <w:rFonts w:ascii="Times New Roman" w:hAnsi="Times New Roman"/>
          <w:b/>
          <w:color w:val="3366CC"/>
          <w:sz w:val="52"/>
          <w:szCs w:val="52"/>
          <w:lang w:eastAsia="en-US"/>
        </w:rPr>
        <w:t>.</w:t>
      </w:r>
      <w:r w:rsidR="005E31EF">
        <w:rPr>
          <w:rFonts w:ascii="Times New Roman" w:hAnsi="Times New Roman"/>
          <w:b/>
          <w:color w:val="3366CC"/>
          <w:sz w:val="52"/>
          <w:szCs w:val="52"/>
          <w:lang w:eastAsia="en-US"/>
        </w:rPr>
        <w:t xml:space="preserve"> </w:t>
      </w:r>
      <w:r w:rsidRPr="00F24EB2">
        <w:rPr>
          <w:rFonts w:ascii="Times New Roman" w:hAnsi="Times New Roman"/>
          <w:b/>
          <w:color w:val="3366CC"/>
          <w:sz w:val="52"/>
          <w:szCs w:val="52"/>
          <w:lang w:eastAsia="en-US"/>
        </w:rPr>
        <w:t>godin</w:t>
      </w:r>
      <w:r w:rsidR="005E31EF">
        <w:rPr>
          <w:rFonts w:ascii="Times New Roman" w:hAnsi="Times New Roman"/>
          <w:b/>
          <w:color w:val="3366CC"/>
          <w:sz w:val="52"/>
          <w:szCs w:val="52"/>
          <w:lang w:eastAsia="en-US"/>
        </w:rPr>
        <w:t>u</w:t>
      </w:r>
    </w:p>
    <w:p w14:paraId="4FC02D3B" w14:textId="77777777" w:rsidR="00E72BA8" w:rsidRDefault="00E72BA8"/>
    <w:p w14:paraId="1A941FEE" w14:textId="77777777" w:rsidR="00F24EB2" w:rsidRDefault="00F24EB2"/>
    <w:p w14:paraId="3F99ABBA" w14:textId="77777777" w:rsidR="00F24EB2" w:rsidRDefault="00F24EB2"/>
    <w:p w14:paraId="055DD63E" w14:textId="77777777" w:rsidR="00F24EB2" w:rsidRDefault="00F24EB2"/>
    <w:p w14:paraId="7BF0A990" w14:textId="77777777" w:rsidR="00F24EB2" w:rsidRDefault="00F24EB2"/>
    <w:p w14:paraId="5AA5FD7C" w14:textId="77777777" w:rsidR="00F24EB2" w:rsidRDefault="00F24EB2"/>
    <w:p w14:paraId="2CFA67C6" w14:textId="77777777" w:rsidR="00F24EB2" w:rsidRDefault="00F24EB2"/>
    <w:p w14:paraId="1D6BD5B9" w14:textId="77777777" w:rsidR="00F24EB2" w:rsidRDefault="00F24EB2"/>
    <w:p w14:paraId="4CF2D5ED" w14:textId="77777777" w:rsidR="00F24EB2" w:rsidRDefault="00F24EB2"/>
    <w:p w14:paraId="1B05B606" w14:textId="77777777" w:rsidR="00F24EB2" w:rsidRDefault="00F24EB2"/>
    <w:p w14:paraId="4524BE40" w14:textId="77777777" w:rsidR="00F24EB2" w:rsidRDefault="00F24EB2"/>
    <w:p w14:paraId="2DA36E53" w14:textId="77777777" w:rsidR="00F24EB2" w:rsidRDefault="00F24EB2"/>
    <w:p w14:paraId="71CC2E28" w14:textId="77777777" w:rsidR="00A93CA9" w:rsidRDefault="00A93CA9"/>
    <w:p w14:paraId="4113A3BA" w14:textId="77777777" w:rsidR="00A93CA9" w:rsidRDefault="00A93CA9"/>
    <w:p w14:paraId="297CDF54" w14:textId="77777777" w:rsidR="00A93CA9" w:rsidRDefault="00A93CA9"/>
    <w:p w14:paraId="36905B4E" w14:textId="77777777" w:rsidR="00A93CA9" w:rsidRDefault="00A93CA9"/>
    <w:p w14:paraId="06BE3CCA" w14:textId="5D8977AE" w:rsidR="007F1BE6" w:rsidRPr="00700CDD" w:rsidRDefault="007F1BE6" w:rsidP="007F1BE6">
      <w:pPr>
        <w:rPr>
          <w:rFonts w:ascii="Times New Roman" w:hAnsi="Times New Roman"/>
          <w:b/>
          <w:sz w:val="24"/>
          <w:szCs w:val="24"/>
        </w:rPr>
      </w:pPr>
      <w:r w:rsidRPr="00700CDD">
        <w:rPr>
          <w:rFonts w:ascii="Times New Roman" w:hAnsi="Times New Roman"/>
          <w:b/>
          <w:sz w:val="24"/>
          <w:szCs w:val="24"/>
        </w:rPr>
        <w:lastRenderedPageBreak/>
        <w:t>52565-Sveučilište Josipa Jurja Strossmayera u Osijeku, Fakultet turizma i ruralnog razvoja u Požegi</w:t>
      </w:r>
    </w:p>
    <w:p w14:paraId="1BDE0B8C" w14:textId="161D8D31" w:rsidR="00937485" w:rsidRPr="00700CDD" w:rsidRDefault="00776246" w:rsidP="007F1BE6">
      <w:pPr>
        <w:rPr>
          <w:rFonts w:ascii="Times New Roman" w:hAnsi="Times New Roman"/>
          <w:b/>
          <w:sz w:val="24"/>
          <w:szCs w:val="24"/>
        </w:rPr>
      </w:pPr>
      <w:r w:rsidRPr="00700CDD">
        <w:rPr>
          <w:rFonts w:ascii="Times New Roman" w:hAnsi="Times New Roman"/>
          <w:b/>
          <w:sz w:val="24"/>
          <w:szCs w:val="24"/>
        </w:rPr>
        <w:t>PRIHOD</w:t>
      </w:r>
      <w:r w:rsidR="007F1BE6" w:rsidRPr="00700CDD">
        <w:rPr>
          <w:rFonts w:ascii="Times New Roman" w:hAnsi="Times New Roman"/>
          <w:b/>
          <w:sz w:val="24"/>
          <w:szCs w:val="24"/>
        </w:rPr>
        <w:t>I</w:t>
      </w:r>
      <w:r w:rsidRPr="00700CDD">
        <w:rPr>
          <w:rFonts w:ascii="Times New Roman" w:hAnsi="Times New Roman"/>
          <w:b/>
          <w:sz w:val="24"/>
          <w:szCs w:val="24"/>
        </w:rPr>
        <w:t xml:space="preserve"> I </w:t>
      </w:r>
      <w:r w:rsidR="007F1BE6" w:rsidRPr="00700CDD">
        <w:rPr>
          <w:rFonts w:ascii="Times New Roman" w:hAnsi="Times New Roman"/>
          <w:b/>
          <w:sz w:val="24"/>
          <w:szCs w:val="24"/>
        </w:rPr>
        <w:t>PRIMICI</w:t>
      </w:r>
    </w:p>
    <w:p w14:paraId="306DAF6F" w14:textId="22F5B6E9" w:rsidR="00FE2CDB" w:rsidRPr="00700CDD" w:rsidRDefault="00E477FE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0CDD">
        <w:rPr>
          <w:rFonts w:ascii="Times New Roman" w:hAnsi="Times New Roman"/>
          <w:sz w:val="24"/>
          <w:szCs w:val="24"/>
        </w:rPr>
        <w:t>Fakultet turizma i ruralnog razvoja u</w:t>
      </w:r>
      <w:r w:rsidR="00BC6EAB" w:rsidRPr="00700CDD">
        <w:rPr>
          <w:rFonts w:ascii="Times New Roman" w:hAnsi="Times New Roman"/>
          <w:sz w:val="24"/>
          <w:szCs w:val="24"/>
        </w:rPr>
        <w:t xml:space="preserve"> Požegi u</w:t>
      </w:r>
      <w:r w:rsidRPr="00700CDD">
        <w:rPr>
          <w:rFonts w:ascii="Times New Roman" w:hAnsi="Times New Roman"/>
          <w:sz w:val="24"/>
          <w:szCs w:val="24"/>
        </w:rPr>
        <w:t xml:space="preserve"> </w:t>
      </w:r>
      <w:r w:rsidR="00ED3437" w:rsidRPr="00700CDD">
        <w:rPr>
          <w:rFonts w:ascii="Times New Roman" w:hAnsi="Times New Roman"/>
          <w:sz w:val="24"/>
          <w:szCs w:val="24"/>
        </w:rPr>
        <w:t>Izmjenama i dopunama financijskog plana</w:t>
      </w:r>
      <w:r w:rsidR="00BC6EAB" w:rsidRPr="00700CDD">
        <w:rPr>
          <w:rFonts w:ascii="Times New Roman" w:hAnsi="Times New Roman"/>
          <w:sz w:val="24"/>
          <w:szCs w:val="24"/>
        </w:rPr>
        <w:t xml:space="preserve"> </w:t>
      </w:r>
      <w:r w:rsidR="00937485" w:rsidRPr="00700CDD">
        <w:rPr>
          <w:rFonts w:ascii="Times New Roman" w:hAnsi="Times New Roman"/>
          <w:sz w:val="24"/>
          <w:szCs w:val="24"/>
        </w:rPr>
        <w:t>za 202</w:t>
      </w:r>
      <w:r w:rsidR="003C25C0" w:rsidRPr="00700CDD">
        <w:rPr>
          <w:rFonts w:ascii="Times New Roman" w:hAnsi="Times New Roman"/>
          <w:sz w:val="24"/>
          <w:szCs w:val="24"/>
        </w:rPr>
        <w:t>5</w:t>
      </w:r>
      <w:r w:rsidR="00937485" w:rsidRPr="00700CDD">
        <w:rPr>
          <w:rFonts w:ascii="Times New Roman" w:hAnsi="Times New Roman"/>
          <w:sz w:val="24"/>
          <w:szCs w:val="24"/>
        </w:rPr>
        <w:t>. godini planira ukupne prihode</w:t>
      </w:r>
      <w:r w:rsidR="002926C7" w:rsidRPr="00700CDD">
        <w:rPr>
          <w:rFonts w:ascii="Times New Roman" w:hAnsi="Times New Roman"/>
          <w:sz w:val="24"/>
          <w:szCs w:val="24"/>
        </w:rPr>
        <w:t xml:space="preserve"> poslovanja</w:t>
      </w:r>
      <w:r w:rsidR="00937485" w:rsidRPr="00700CDD">
        <w:rPr>
          <w:rFonts w:ascii="Times New Roman" w:hAnsi="Times New Roman"/>
          <w:sz w:val="24"/>
          <w:szCs w:val="24"/>
        </w:rPr>
        <w:t xml:space="preserve"> u iznosu od </w:t>
      </w:r>
      <w:r w:rsidR="00E3505B" w:rsidRPr="00700CDD">
        <w:rPr>
          <w:rFonts w:ascii="Times New Roman" w:hAnsi="Times New Roman"/>
          <w:sz w:val="24"/>
          <w:szCs w:val="24"/>
        </w:rPr>
        <w:t>2.</w:t>
      </w:r>
      <w:r w:rsidR="00664620" w:rsidRPr="00700CDD">
        <w:rPr>
          <w:rFonts w:ascii="Times New Roman" w:hAnsi="Times New Roman"/>
          <w:sz w:val="24"/>
          <w:szCs w:val="24"/>
        </w:rPr>
        <w:t>480.468</w:t>
      </w:r>
      <w:r w:rsidR="00FE2CDB" w:rsidRPr="00700CDD">
        <w:rPr>
          <w:rFonts w:ascii="Times New Roman" w:hAnsi="Times New Roman"/>
          <w:sz w:val="24"/>
          <w:szCs w:val="24"/>
        </w:rPr>
        <w:t xml:space="preserve"> eur</w:t>
      </w:r>
      <w:r w:rsidR="002C2325" w:rsidRPr="00700CDD">
        <w:rPr>
          <w:rFonts w:ascii="Times New Roman" w:hAnsi="Times New Roman"/>
          <w:sz w:val="24"/>
          <w:szCs w:val="24"/>
        </w:rPr>
        <w:t>a</w:t>
      </w:r>
      <w:r w:rsidR="003A5D42" w:rsidRPr="00700CDD">
        <w:rPr>
          <w:rFonts w:ascii="Times New Roman" w:hAnsi="Times New Roman"/>
          <w:sz w:val="24"/>
          <w:szCs w:val="24"/>
        </w:rPr>
        <w:t xml:space="preserve"> i planirani su </w:t>
      </w:r>
      <w:r w:rsidR="00F430CB" w:rsidRPr="00700CDD">
        <w:rPr>
          <w:rFonts w:ascii="Times New Roman" w:hAnsi="Times New Roman"/>
          <w:sz w:val="24"/>
          <w:szCs w:val="24"/>
        </w:rPr>
        <w:t>u iznosu od 200.478 eura većem u odnosu na prethodni plan</w:t>
      </w:r>
      <w:r w:rsidR="00FE2CDB" w:rsidRPr="00700CDD">
        <w:rPr>
          <w:rFonts w:ascii="Times New Roman" w:hAnsi="Times New Roman"/>
          <w:sz w:val="24"/>
          <w:szCs w:val="24"/>
        </w:rPr>
        <w:t xml:space="preserve">. </w:t>
      </w:r>
      <w:r w:rsidR="00D730B1" w:rsidRPr="00700CDD">
        <w:rPr>
          <w:rFonts w:ascii="Times New Roman" w:hAnsi="Times New Roman"/>
          <w:sz w:val="24"/>
          <w:szCs w:val="24"/>
        </w:rPr>
        <w:t>Prema novom planu u</w:t>
      </w:r>
      <w:r w:rsidR="00B07542" w:rsidRPr="00700CDD">
        <w:rPr>
          <w:rFonts w:ascii="Times New Roman" w:hAnsi="Times New Roman"/>
          <w:sz w:val="24"/>
          <w:szCs w:val="24"/>
        </w:rPr>
        <w:t>kupni prihodi poslovanja planiraju se ostvariti iz slijedećih izvora:</w:t>
      </w:r>
    </w:p>
    <w:p w14:paraId="1D72715E" w14:textId="77777777" w:rsidR="00572ECB" w:rsidRPr="00700CDD" w:rsidRDefault="00B07542" w:rsidP="00B07542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0CDD">
        <w:rPr>
          <w:rFonts w:ascii="Times New Roman" w:hAnsi="Times New Roman"/>
          <w:sz w:val="24"/>
          <w:szCs w:val="24"/>
        </w:rPr>
        <w:t xml:space="preserve">11 Opći prihodi i primici </w:t>
      </w:r>
    </w:p>
    <w:p w14:paraId="0CF2C7F0" w14:textId="5B29D90E" w:rsidR="00B07542" w:rsidRPr="00700CDD" w:rsidRDefault="00B07542" w:rsidP="00B07542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0CDD">
        <w:rPr>
          <w:rFonts w:ascii="Times New Roman" w:hAnsi="Times New Roman"/>
          <w:sz w:val="24"/>
          <w:szCs w:val="24"/>
        </w:rPr>
        <w:t>-Prihodi iz nadležnog proračuna za financiranje redovne djelatnosti za plaće i materijalna prava zaposlenika u</w:t>
      </w:r>
      <w:r w:rsidR="00135BAC" w:rsidRPr="00700CDD">
        <w:rPr>
          <w:rFonts w:ascii="Times New Roman" w:hAnsi="Times New Roman"/>
          <w:sz w:val="24"/>
          <w:szCs w:val="24"/>
        </w:rPr>
        <w:t xml:space="preserve"> izmjenama i dopunama fin</w:t>
      </w:r>
      <w:r w:rsidR="00F25028" w:rsidRPr="00700CDD">
        <w:rPr>
          <w:rFonts w:ascii="Times New Roman" w:hAnsi="Times New Roman"/>
          <w:sz w:val="24"/>
          <w:szCs w:val="24"/>
        </w:rPr>
        <w:t>ancijskog plana za 2025. godinu planirani su u iznosu od</w:t>
      </w:r>
      <w:r w:rsidR="003A38DC" w:rsidRPr="00700CDD">
        <w:rPr>
          <w:rFonts w:ascii="Times New Roman" w:hAnsi="Times New Roman"/>
          <w:sz w:val="24"/>
          <w:szCs w:val="24"/>
        </w:rPr>
        <w:t xml:space="preserve"> </w:t>
      </w:r>
      <w:r w:rsidRPr="00700CDD">
        <w:rPr>
          <w:rFonts w:ascii="Times New Roman" w:hAnsi="Times New Roman"/>
          <w:sz w:val="24"/>
          <w:szCs w:val="24"/>
        </w:rPr>
        <w:t>1.</w:t>
      </w:r>
      <w:r w:rsidR="007716B4" w:rsidRPr="00700CDD">
        <w:rPr>
          <w:rFonts w:ascii="Times New Roman" w:hAnsi="Times New Roman"/>
          <w:sz w:val="24"/>
          <w:szCs w:val="24"/>
        </w:rPr>
        <w:t>907.495</w:t>
      </w:r>
      <w:r w:rsidRPr="00700CDD">
        <w:rPr>
          <w:rFonts w:ascii="Times New Roman" w:hAnsi="Times New Roman"/>
          <w:sz w:val="24"/>
          <w:szCs w:val="24"/>
        </w:rPr>
        <w:t xml:space="preserve"> eura</w:t>
      </w:r>
      <w:r w:rsidR="003A38DC" w:rsidRPr="00700CDD">
        <w:rPr>
          <w:rFonts w:ascii="Times New Roman" w:hAnsi="Times New Roman"/>
          <w:sz w:val="24"/>
          <w:szCs w:val="24"/>
        </w:rPr>
        <w:t>,</w:t>
      </w:r>
      <w:r w:rsidR="00AF2DFB" w:rsidRPr="00700CDD">
        <w:rPr>
          <w:rFonts w:ascii="Times New Roman" w:hAnsi="Times New Roman"/>
          <w:sz w:val="24"/>
          <w:szCs w:val="24"/>
        </w:rPr>
        <w:t xml:space="preserve"> </w:t>
      </w:r>
      <w:r w:rsidRPr="00700CDD">
        <w:rPr>
          <w:rFonts w:ascii="Times New Roman" w:hAnsi="Times New Roman"/>
          <w:sz w:val="24"/>
          <w:szCs w:val="24"/>
        </w:rPr>
        <w:t>programsko financiranje u iznosu od 1</w:t>
      </w:r>
      <w:r w:rsidR="00CE7E79" w:rsidRPr="00700CDD">
        <w:rPr>
          <w:rFonts w:ascii="Times New Roman" w:hAnsi="Times New Roman"/>
          <w:sz w:val="24"/>
          <w:szCs w:val="24"/>
        </w:rPr>
        <w:t>46.976</w:t>
      </w:r>
      <w:r w:rsidRPr="00700CDD">
        <w:rPr>
          <w:rFonts w:ascii="Times New Roman" w:hAnsi="Times New Roman"/>
          <w:sz w:val="24"/>
          <w:szCs w:val="24"/>
        </w:rPr>
        <w:t xml:space="preserve"> eura </w:t>
      </w:r>
      <w:r w:rsidR="005B786B" w:rsidRPr="00700CDD">
        <w:rPr>
          <w:rFonts w:ascii="Times New Roman" w:hAnsi="Times New Roman"/>
          <w:sz w:val="24"/>
          <w:szCs w:val="24"/>
        </w:rPr>
        <w:t xml:space="preserve">te </w:t>
      </w:r>
      <w:r w:rsidR="00955BE5" w:rsidRPr="00700CDD">
        <w:rPr>
          <w:rFonts w:ascii="Times New Roman" w:hAnsi="Times New Roman"/>
          <w:sz w:val="24"/>
          <w:szCs w:val="24"/>
        </w:rPr>
        <w:t xml:space="preserve">9.681 eura za </w:t>
      </w:r>
      <w:r w:rsidR="00CE7E79" w:rsidRPr="00700CDD">
        <w:rPr>
          <w:rFonts w:ascii="Times New Roman" w:hAnsi="Times New Roman"/>
          <w:sz w:val="24"/>
          <w:szCs w:val="24"/>
        </w:rPr>
        <w:t>održavanje objekata visokoobrazovnih ustanova.</w:t>
      </w:r>
    </w:p>
    <w:p w14:paraId="6D28FF78" w14:textId="061F2595" w:rsidR="00B07542" w:rsidRPr="00700CDD" w:rsidRDefault="001E2675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0CDD">
        <w:rPr>
          <w:rFonts w:ascii="Times New Roman" w:hAnsi="Times New Roman"/>
          <w:sz w:val="24"/>
          <w:szCs w:val="24"/>
        </w:rPr>
        <w:t>31 Vlastiti prihodi</w:t>
      </w:r>
    </w:p>
    <w:p w14:paraId="13619053" w14:textId="54DE38BC" w:rsidR="001E2675" w:rsidRPr="00700CDD" w:rsidRDefault="001E2675" w:rsidP="001E267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0CDD">
        <w:rPr>
          <w:rFonts w:ascii="Times New Roman" w:hAnsi="Times New Roman"/>
          <w:sz w:val="24"/>
          <w:szCs w:val="24"/>
        </w:rPr>
        <w:t>-Kamate na oročena sredstva i depozite po viđenju u iznosu od 1.500 eura</w:t>
      </w:r>
      <w:r w:rsidR="002256F4" w:rsidRPr="00700CDD">
        <w:rPr>
          <w:rFonts w:ascii="Times New Roman" w:hAnsi="Times New Roman"/>
          <w:sz w:val="24"/>
          <w:szCs w:val="24"/>
        </w:rPr>
        <w:t>.</w:t>
      </w:r>
      <w:r w:rsidRPr="00700CDD">
        <w:rPr>
          <w:rFonts w:ascii="Times New Roman" w:hAnsi="Times New Roman"/>
          <w:sz w:val="24"/>
          <w:szCs w:val="24"/>
        </w:rPr>
        <w:t xml:space="preserve"> </w:t>
      </w:r>
    </w:p>
    <w:p w14:paraId="24EAD61D" w14:textId="6B0BEDD8" w:rsidR="001E2675" w:rsidRPr="00700CDD" w:rsidRDefault="001E2675" w:rsidP="001E267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0CDD">
        <w:rPr>
          <w:rFonts w:ascii="Times New Roman" w:hAnsi="Times New Roman"/>
          <w:sz w:val="24"/>
          <w:szCs w:val="24"/>
        </w:rPr>
        <w:t xml:space="preserve">-Prihodi od prodaje proizvoda i robe u iznosu od 25.000 eura koji se odnose na prihode od prodaje grožđa i vina. </w:t>
      </w:r>
    </w:p>
    <w:p w14:paraId="6024CAAF" w14:textId="55C9729F" w:rsidR="001E2675" w:rsidRPr="00700CDD" w:rsidRDefault="001E2675" w:rsidP="001E267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0CDD">
        <w:rPr>
          <w:rFonts w:ascii="Times New Roman" w:hAnsi="Times New Roman"/>
          <w:sz w:val="24"/>
          <w:szCs w:val="24"/>
        </w:rPr>
        <w:t xml:space="preserve">-Prihodi od pruženih usluga u iznosu od </w:t>
      </w:r>
      <w:r w:rsidR="008B514F" w:rsidRPr="00700CDD">
        <w:rPr>
          <w:rFonts w:ascii="Times New Roman" w:hAnsi="Times New Roman"/>
          <w:sz w:val="24"/>
          <w:szCs w:val="24"/>
        </w:rPr>
        <w:t>8</w:t>
      </w:r>
      <w:r w:rsidR="0054091F" w:rsidRPr="00700CDD">
        <w:rPr>
          <w:rFonts w:ascii="Times New Roman" w:hAnsi="Times New Roman"/>
          <w:sz w:val="24"/>
          <w:szCs w:val="24"/>
        </w:rPr>
        <w:t>8</w:t>
      </w:r>
      <w:r w:rsidRPr="00700CDD">
        <w:rPr>
          <w:rFonts w:ascii="Times New Roman" w:hAnsi="Times New Roman"/>
          <w:sz w:val="24"/>
          <w:szCs w:val="24"/>
        </w:rPr>
        <w:t xml:space="preserve">.000 eura koji se odnose na uplate kotizacija, prihode od najma te prihoda od tečajeva. </w:t>
      </w:r>
      <w:r w:rsidR="001007F3" w:rsidRPr="00700CDD">
        <w:rPr>
          <w:rFonts w:ascii="Times New Roman" w:hAnsi="Times New Roman"/>
          <w:sz w:val="24"/>
          <w:szCs w:val="24"/>
        </w:rPr>
        <w:t xml:space="preserve">Prema novom planu prihodi su povećani za </w:t>
      </w:r>
      <w:r w:rsidR="00147E2A" w:rsidRPr="00700CDD">
        <w:rPr>
          <w:rFonts w:ascii="Times New Roman" w:hAnsi="Times New Roman"/>
          <w:sz w:val="24"/>
          <w:szCs w:val="24"/>
        </w:rPr>
        <w:t>63</w:t>
      </w:r>
      <w:r w:rsidR="001007F3" w:rsidRPr="00700CDD">
        <w:rPr>
          <w:rFonts w:ascii="Times New Roman" w:hAnsi="Times New Roman"/>
          <w:sz w:val="24"/>
          <w:szCs w:val="24"/>
        </w:rPr>
        <w:t xml:space="preserve">.000 eura </w:t>
      </w:r>
      <w:r w:rsidR="00C926E4" w:rsidRPr="00700CDD">
        <w:rPr>
          <w:rFonts w:ascii="Times New Roman" w:hAnsi="Times New Roman"/>
          <w:sz w:val="24"/>
          <w:szCs w:val="24"/>
        </w:rPr>
        <w:t xml:space="preserve">zbog uplata </w:t>
      </w:r>
      <w:r w:rsidR="00A807D4" w:rsidRPr="00700CDD">
        <w:rPr>
          <w:rFonts w:ascii="Times New Roman" w:hAnsi="Times New Roman"/>
          <w:sz w:val="24"/>
          <w:szCs w:val="24"/>
        </w:rPr>
        <w:t xml:space="preserve">za </w:t>
      </w:r>
      <w:r w:rsidR="00397E63" w:rsidRPr="00700CDD">
        <w:rPr>
          <w:rFonts w:ascii="Times New Roman" w:hAnsi="Times New Roman"/>
          <w:sz w:val="24"/>
          <w:szCs w:val="24"/>
        </w:rPr>
        <w:t xml:space="preserve">program </w:t>
      </w:r>
      <w:r w:rsidR="00A807D4" w:rsidRPr="00700CDD">
        <w:rPr>
          <w:rFonts w:ascii="Times New Roman" w:hAnsi="Times New Roman"/>
          <w:sz w:val="24"/>
          <w:szCs w:val="24"/>
        </w:rPr>
        <w:t>obrazovanj</w:t>
      </w:r>
      <w:r w:rsidR="00702ADC" w:rsidRPr="00700CDD">
        <w:rPr>
          <w:rFonts w:ascii="Times New Roman" w:hAnsi="Times New Roman"/>
          <w:sz w:val="24"/>
          <w:szCs w:val="24"/>
        </w:rPr>
        <w:t>a za</w:t>
      </w:r>
      <w:r w:rsidR="00B076F0" w:rsidRPr="00700CDD">
        <w:rPr>
          <w:rFonts w:ascii="Times New Roman" w:hAnsi="Times New Roman"/>
          <w:sz w:val="24"/>
          <w:szCs w:val="24"/>
        </w:rPr>
        <w:t xml:space="preserve"> stjecanje mikrokvalifikacije „Stručnjak</w:t>
      </w:r>
      <w:r w:rsidR="00DC73B8" w:rsidRPr="00700CDD">
        <w:rPr>
          <w:rFonts w:ascii="Times New Roman" w:hAnsi="Times New Roman"/>
          <w:sz w:val="24"/>
          <w:szCs w:val="24"/>
        </w:rPr>
        <w:t>/inja za umjetnu inteligenciju“</w:t>
      </w:r>
      <w:r w:rsidR="00A807D4" w:rsidRPr="00700CDD">
        <w:rPr>
          <w:rFonts w:ascii="Times New Roman" w:hAnsi="Times New Roman"/>
          <w:sz w:val="24"/>
          <w:szCs w:val="24"/>
        </w:rPr>
        <w:t>.</w:t>
      </w:r>
    </w:p>
    <w:p w14:paraId="5DFDF845" w14:textId="1095DDCB" w:rsidR="00F06500" w:rsidRPr="00700CDD" w:rsidRDefault="00F06500" w:rsidP="001E267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0CDD">
        <w:rPr>
          <w:rFonts w:ascii="Times New Roman" w:hAnsi="Times New Roman"/>
          <w:sz w:val="24"/>
          <w:szCs w:val="24"/>
        </w:rPr>
        <w:t>-</w:t>
      </w:r>
      <w:r w:rsidR="00B26F90" w:rsidRPr="00700CDD">
        <w:rPr>
          <w:rFonts w:ascii="Times New Roman" w:hAnsi="Times New Roman"/>
          <w:sz w:val="24"/>
          <w:szCs w:val="24"/>
        </w:rPr>
        <w:t>Ostali prihodi u iznosu od 2.500 eura koji se odnose na oportunitetni trošak.</w:t>
      </w:r>
    </w:p>
    <w:p w14:paraId="1B290652" w14:textId="434A5737" w:rsidR="00617DE8" w:rsidRPr="00700CDD" w:rsidRDefault="00617DE8" w:rsidP="001E267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0CDD">
        <w:rPr>
          <w:rFonts w:ascii="Times New Roman" w:hAnsi="Times New Roman"/>
          <w:sz w:val="24"/>
          <w:szCs w:val="24"/>
        </w:rPr>
        <w:t>43 Ostali prihodi za posebne namjene</w:t>
      </w:r>
    </w:p>
    <w:p w14:paraId="35CA3D97" w14:textId="70DB3DE0" w:rsidR="00617DE8" w:rsidRPr="00700CDD" w:rsidRDefault="00617DE8" w:rsidP="00617DE8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0CDD">
        <w:rPr>
          <w:rFonts w:ascii="Times New Roman" w:hAnsi="Times New Roman"/>
          <w:sz w:val="24"/>
          <w:szCs w:val="24"/>
        </w:rPr>
        <w:t xml:space="preserve">-Ostali nespomenuti prihodi u iznosu od </w:t>
      </w:r>
      <w:r w:rsidR="002C5B13" w:rsidRPr="00700CDD">
        <w:rPr>
          <w:rFonts w:ascii="Times New Roman" w:hAnsi="Times New Roman"/>
          <w:sz w:val="24"/>
          <w:szCs w:val="24"/>
        </w:rPr>
        <w:t>15</w:t>
      </w:r>
      <w:r w:rsidRPr="00700CDD">
        <w:rPr>
          <w:rFonts w:ascii="Times New Roman" w:hAnsi="Times New Roman"/>
          <w:sz w:val="24"/>
          <w:szCs w:val="24"/>
        </w:rPr>
        <w:t xml:space="preserve">0.000 eura ostvareni od uplata za troškove studija, troškova upisa, </w:t>
      </w:r>
      <w:r w:rsidR="003C6359" w:rsidRPr="00700CDD">
        <w:rPr>
          <w:rFonts w:ascii="Times New Roman" w:hAnsi="Times New Roman"/>
          <w:sz w:val="24"/>
          <w:szCs w:val="24"/>
        </w:rPr>
        <w:t>troškovi organizacije promocije</w:t>
      </w:r>
      <w:r w:rsidRPr="00700CDD">
        <w:rPr>
          <w:rFonts w:ascii="Times New Roman" w:hAnsi="Times New Roman"/>
          <w:sz w:val="24"/>
          <w:szCs w:val="24"/>
        </w:rPr>
        <w:t xml:space="preserve">, </w:t>
      </w:r>
      <w:r w:rsidR="003C6359" w:rsidRPr="00700CDD">
        <w:rPr>
          <w:rFonts w:ascii="Times New Roman" w:hAnsi="Times New Roman"/>
          <w:sz w:val="24"/>
          <w:szCs w:val="24"/>
        </w:rPr>
        <w:t>troškovi provjere vjerod</w:t>
      </w:r>
      <w:r w:rsidR="00320D9B" w:rsidRPr="00700CDD">
        <w:rPr>
          <w:rFonts w:ascii="Times New Roman" w:hAnsi="Times New Roman"/>
          <w:sz w:val="24"/>
          <w:szCs w:val="24"/>
        </w:rPr>
        <w:t>o</w:t>
      </w:r>
      <w:r w:rsidR="003C6359" w:rsidRPr="00700CDD">
        <w:rPr>
          <w:rFonts w:ascii="Times New Roman" w:hAnsi="Times New Roman"/>
          <w:sz w:val="24"/>
          <w:szCs w:val="24"/>
        </w:rPr>
        <w:t>stojnosti</w:t>
      </w:r>
      <w:r w:rsidR="00320D9B" w:rsidRPr="00700CDD">
        <w:rPr>
          <w:rFonts w:ascii="Times New Roman" w:hAnsi="Times New Roman"/>
          <w:sz w:val="24"/>
          <w:szCs w:val="24"/>
        </w:rPr>
        <w:t xml:space="preserve"> diplome</w:t>
      </w:r>
      <w:r w:rsidRPr="00700CDD">
        <w:rPr>
          <w:rFonts w:ascii="Times New Roman" w:hAnsi="Times New Roman"/>
          <w:sz w:val="24"/>
          <w:szCs w:val="24"/>
        </w:rPr>
        <w:t xml:space="preserve">, zakasnina za knjige, </w:t>
      </w:r>
      <w:r w:rsidR="006643EB" w:rsidRPr="00700CDD">
        <w:rPr>
          <w:rFonts w:ascii="Times New Roman" w:hAnsi="Times New Roman"/>
          <w:sz w:val="24"/>
          <w:szCs w:val="24"/>
        </w:rPr>
        <w:t>troškovi izdavanja prijepisa</w:t>
      </w:r>
      <w:r w:rsidRPr="00700CDD">
        <w:rPr>
          <w:rFonts w:ascii="Times New Roman" w:hAnsi="Times New Roman"/>
          <w:sz w:val="24"/>
          <w:szCs w:val="24"/>
        </w:rPr>
        <w:t xml:space="preserve">, prihoda s naslova osiguranja, refundacije štete te ostalih prihoda za posebne namjene. </w:t>
      </w:r>
      <w:r w:rsidR="001E0BD9" w:rsidRPr="00700CDD">
        <w:rPr>
          <w:rFonts w:ascii="Times New Roman" w:hAnsi="Times New Roman"/>
          <w:sz w:val="24"/>
          <w:szCs w:val="24"/>
        </w:rPr>
        <w:t>Prema novom planu navedeni prihodi smanjeni su za</w:t>
      </w:r>
      <w:r w:rsidR="004637D7" w:rsidRPr="00700CDD">
        <w:rPr>
          <w:rFonts w:ascii="Times New Roman" w:hAnsi="Times New Roman"/>
          <w:sz w:val="24"/>
          <w:szCs w:val="24"/>
        </w:rPr>
        <w:t xml:space="preserve"> 170.000 eura zbog manjeg iznosa od uplata troškova studija i drugih troškova.</w:t>
      </w:r>
    </w:p>
    <w:p w14:paraId="3437E405" w14:textId="02DAE8AB" w:rsidR="003805B6" w:rsidRPr="00700CDD" w:rsidRDefault="003805B6" w:rsidP="00617DE8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0CDD">
        <w:rPr>
          <w:rFonts w:ascii="Times New Roman" w:hAnsi="Times New Roman"/>
          <w:sz w:val="24"/>
          <w:szCs w:val="24"/>
        </w:rPr>
        <w:t xml:space="preserve">-Ostali prihodi za posebne namjene u iznosu od 15.000 eura </w:t>
      </w:r>
      <w:r w:rsidR="002236A2" w:rsidRPr="00700CDD">
        <w:rPr>
          <w:rFonts w:ascii="Times New Roman" w:hAnsi="Times New Roman"/>
          <w:sz w:val="24"/>
          <w:szCs w:val="24"/>
        </w:rPr>
        <w:t>koja se odnose na doznačena sredstva Sveučilišta Josipa Jurja Strossmayera u Osijeku</w:t>
      </w:r>
    </w:p>
    <w:p w14:paraId="2AA98CD8" w14:textId="3D41664B" w:rsidR="00617DE8" w:rsidRPr="00700CDD" w:rsidRDefault="00617DE8" w:rsidP="00617DE8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0CDD">
        <w:rPr>
          <w:rFonts w:ascii="Times New Roman" w:hAnsi="Times New Roman"/>
          <w:sz w:val="24"/>
          <w:szCs w:val="24"/>
        </w:rPr>
        <w:t xml:space="preserve">-Ostali prihodi u iznosu od 5.000 eura za 2025. godinu. </w:t>
      </w:r>
    </w:p>
    <w:p w14:paraId="11FFB70B" w14:textId="346D08C9" w:rsidR="00B07542" w:rsidRPr="00700CDD" w:rsidRDefault="00617DE8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0CDD">
        <w:rPr>
          <w:rFonts w:ascii="Times New Roman" w:hAnsi="Times New Roman"/>
          <w:sz w:val="24"/>
          <w:szCs w:val="24"/>
        </w:rPr>
        <w:t>52 Ostale pomoći</w:t>
      </w:r>
    </w:p>
    <w:p w14:paraId="65C7B855" w14:textId="33ED0BAE" w:rsidR="005762FE" w:rsidRPr="00700CDD" w:rsidRDefault="005762FE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0CDD">
        <w:rPr>
          <w:rFonts w:ascii="Times New Roman" w:hAnsi="Times New Roman"/>
          <w:sz w:val="24"/>
          <w:szCs w:val="24"/>
        </w:rPr>
        <w:lastRenderedPageBreak/>
        <w:t xml:space="preserve">-Tekući prijenosi između proračunskih korisnika istog proračuna u iznosu od </w:t>
      </w:r>
      <w:r w:rsidR="007E7B4A" w:rsidRPr="00700CDD">
        <w:rPr>
          <w:rFonts w:ascii="Times New Roman" w:hAnsi="Times New Roman"/>
          <w:sz w:val="24"/>
          <w:szCs w:val="24"/>
        </w:rPr>
        <w:t>45.106</w:t>
      </w:r>
      <w:r w:rsidRPr="00700CDD">
        <w:rPr>
          <w:rFonts w:ascii="Times New Roman" w:hAnsi="Times New Roman"/>
          <w:sz w:val="24"/>
          <w:szCs w:val="24"/>
        </w:rPr>
        <w:t xml:space="preserve"> eura a odnose se na </w:t>
      </w:r>
      <w:r w:rsidR="00F520AC" w:rsidRPr="00700CDD">
        <w:rPr>
          <w:rFonts w:ascii="Times New Roman" w:hAnsi="Times New Roman"/>
          <w:sz w:val="24"/>
          <w:szCs w:val="24"/>
        </w:rPr>
        <w:t xml:space="preserve">sredstva </w:t>
      </w:r>
      <w:r w:rsidR="008F56D1" w:rsidRPr="00700CDD">
        <w:rPr>
          <w:rFonts w:ascii="Times New Roman" w:hAnsi="Times New Roman"/>
          <w:sz w:val="24"/>
          <w:szCs w:val="24"/>
        </w:rPr>
        <w:t xml:space="preserve">Agencije za plaćanja u poljoprivredi, ribarstvu i ruralnom razvoju za poticaje u iznosu od </w:t>
      </w:r>
      <w:r w:rsidR="007F7EF2" w:rsidRPr="00700CDD">
        <w:rPr>
          <w:rFonts w:ascii="Times New Roman" w:hAnsi="Times New Roman"/>
          <w:sz w:val="24"/>
          <w:szCs w:val="24"/>
        </w:rPr>
        <w:t xml:space="preserve">1.188 eura te sredstva </w:t>
      </w:r>
      <w:r w:rsidR="005C3280" w:rsidRPr="00700CDD">
        <w:rPr>
          <w:rFonts w:ascii="Times New Roman" w:hAnsi="Times New Roman"/>
          <w:sz w:val="24"/>
          <w:szCs w:val="24"/>
        </w:rPr>
        <w:t xml:space="preserve">Hrvatske zaklade za znanost </w:t>
      </w:r>
      <w:r w:rsidR="00D471BB" w:rsidRPr="00700CDD">
        <w:rPr>
          <w:rFonts w:ascii="Times New Roman" w:hAnsi="Times New Roman"/>
          <w:sz w:val="24"/>
          <w:szCs w:val="24"/>
        </w:rPr>
        <w:t xml:space="preserve">u iznosu od </w:t>
      </w:r>
      <w:r w:rsidR="007B05A7" w:rsidRPr="00700CDD">
        <w:rPr>
          <w:rFonts w:ascii="Times New Roman" w:hAnsi="Times New Roman"/>
          <w:sz w:val="24"/>
          <w:szCs w:val="24"/>
        </w:rPr>
        <w:t>43.</w:t>
      </w:r>
      <w:r w:rsidR="00D604D9" w:rsidRPr="00700CDD">
        <w:rPr>
          <w:rFonts w:ascii="Times New Roman" w:hAnsi="Times New Roman"/>
          <w:sz w:val="24"/>
          <w:szCs w:val="24"/>
        </w:rPr>
        <w:t>9</w:t>
      </w:r>
      <w:r w:rsidR="007B05A7" w:rsidRPr="00700CDD">
        <w:rPr>
          <w:rFonts w:ascii="Times New Roman" w:hAnsi="Times New Roman"/>
          <w:sz w:val="24"/>
          <w:szCs w:val="24"/>
        </w:rPr>
        <w:t xml:space="preserve">18 eura </w:t>
      </w:r>
      <w:r w:rsidR="00954F62" w:rsidRPr="00700CDD">
        <w:rPr>
          <w:rFonts w:ascii="Times New Roman" w:hAnsi="Times New Roman"/>
          <w:sz w:val="24"/>
          <w:szCs w:val="24"/>
        </w:rPr>
        <w:t>za provedbu projekta „Uspostavni istraživački projekt</w:t>
      </w:r>
      <w:r w:rsidR="00861BAE" w:rsidRPr="00700CDD">
        <w:rPr>
          <w:rFonts w:ascii="Times New Roman" w:hAnsi="Times New Roman"/>
          <w:sz w:val="24"/>
          <w:szCs w:val="24"/>
        </w:rPr>
        <w:t xml:space="preserve"> UIP-2020-02“</w:t>
      </w:r>
      <w:r w:rsidR="00D30F2A" w:rsidRPr="00700CDD">
        <w:rPr>
          <w:rFonts w:ascii="Times New Roman" w:hAnsi="Times New Roman"/>
          <w:sz w:val="24"/>
          <w:szCs w:val="24"/>
        </w:rPr>
        <w:t xml:space="preserve"> (Mogućnost iskorištavanja </w:t>
      </w:r>
      <w:r w:rsidR="00952224" w:rsidRPr="00700CDD">
        <w:rPr>
          <w:rFonts w:ascii="Times New Roman" w:hAnsi="Times New Roman"/>
          <w:sz w:val="24"/>
          <w:szCs w:val="24"/>
        </w:rPr>
        <w:t xml:space="preserve">tradicionalnih sorti jabuka za proizvodnju jabuka i soka od jabuka sa smanjenim udjelom </w:t>
      </w:r>
      <w:r w:rsidR="00982DF0" w:rsidRPr="00700CDD">
        <w:rPr>
          <w:rFonts w:ascii="Times New Roman" w:hAnsi="Times New Roman"/>
          <w:sz w:val="24"/>
          <w:szCs w:val="24"/>
        </w:rPr>
        <w:t>patulina)</w:t>
      </w:r>
      <w:r w:rsidR="00DA5648" w:rsidRPr="00700CDD">
        <w:rPr>
          <w:rFonts w:ascii="Times New Roman" w:hAnsi="Times New Roman"/>
          <w:sz w:val="24"/>
          <w:szCs w:val="24"/>
        </w:rPr>
        <w:t xml:space="preserve"> i </w:t>
      </w:r>
      <w:r w:rsidR="00985D74" w:rsidRPr="00700CDD">
        <w:rPr>
          <w:rFonts w:ascii="Times New Roman" w:hAnsi="Times New Roman"/>
          <w:sz w:val="24"/>
          <w:szCs w:val="24"/>
        </w:rPr>
        <w:t>projekta</w:t>
      </w:r>
      <w:r w:rsidR="004058CF" w:rsidRPr="00700CDD">
        <w:rPr>
          <w:rFonts w:ascii="Times New Roman" w:hAnsi="Times New Roman"/>
          <w:sz w:val="24"/>
          <w:szCs w:val="24"/>
        </w:rPr>
        <w:t xml:space="preserve"> IP-2025-02 (Turizam 5.0: </w:t>
      </w:r>
      <w:r w:rsidR="00574A52" w:rsidRPr="00700CDD">
        <w:rPr>
          <w:rFonts w:ascii="Times New Roman" w:hAnsi="Times New Roman"/>
          <w:sz w:val="24"/>
          <w:szCs w:val="24"/>
        </w:rPr>
        <w:t>zadovoljstvo korisnika kroz digitalnu transformaciju turističke destinacije)</w:t>
      </w:r>
      <w:r w:rsidR="00BC442A" w:rsidRPr="00700CDD">
        <w:rPr>
          <w:rFonts w:ascii="Times New Roman" w:hAnsi="Times New Roman"/>
          <w:sz w:val="24"/>
          <w:szCs w:val="24"/>
        </w:rPr>
        <w:t>.</w:t>
      </w:r>
      <w:r w:rsidR="002A7A46" w:rsidRPr="00700CDD">
        <w:rPr>
          <w:rFonts w:ascii="Times New Roman" w:hAnsi="Times New Roman"/>
          <w:sz w:val="24"/>
          <w:szCs w:val="24"/>
        </w:rPr>
        <w:t xml:space="preserve"> Navedeni prijenosi smanjeni su za </w:t>
      </w:r>
      <w:r w:rsidR="00B279FE" w:rsidRPr="00700CDD">
        <w:rPr>
          <w:rFonts w:ascii="Times New Roman" w:hAnsi="Times New Roman"/>
          <w:sz w:val="24"/>
          <w:szCs w:val="24"/>
        </w:rPr>
        <w:t xml:space="preserve">50.000 eura budući će sredstva </w:t>
      </w:r>
      <w:r w:rsidR="002A7A46" w:rsidRPr="00700CDD">
        <w:rPr>
          <w:rFonts w:ascii="Times New Roman" w:hAnsi="Times New Roman"/>
          <w:sz w:val="24"/>
          <w:szCs w:val="24"/>
        </w:rPr>
        <w:t xml:space="preserve">Ministarstva poljoprivrede, šumarstva i ribarstva temeljem Sporazuma o suradnji za stipendiranje studenata visokih učilišta iz područja biotehničkih znanosti na području Slavonije, Baranje i Srijema </w:t>
      </w:r>
      <w:r w:rsidR="00B279FE" w:rsidRPr="00700CDD">
        <w:rPr>
          <w:rFonts w:ascii="Times New Roman" w:hAnsi="Times New Roman"/>
          <w:sz w:val="24"/>
          <w:szCs w:val="24"/>
        </w:rPr>
        <w:t>biti doznačena slijedeće godine.</w:t>
      </w:r>
    </w:p>
    <w:p w14:paraId="6D73AFB6" w14:textId="04D503E6" w:rsidR="0033394C" w:rsidRPr="00700CDD" w:rsidRDefault="0022704C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0CDD">
        <w:rPr>
          <w:rFonts w:ascii="Times New Roman" w:hAnsi="Times New Roman"/>
          <w:sz w:val="24"/>
          <w:szCs w:val="24"/>
        </w:rPr>
        <w:t xml:space="preserve">-Tekući prijenosi </w:t>
      </w:r>
      <w:r w:rsidR="00155D58" w:rsidRPr="00700CDD">
        <w:rPr>
          <w:rFonts w:ascii="Times New Roman" w:hAnsi="Times New Roman"/>
          <w:sz w:val="24"/>
          <w:szCs w:val="24"/>
        </w:rPr>
        <w:t xml:space="preserve">između proračunskih korisnika istog proračuna temeljem prijenosa EU </w:t>
      </w:r>
      <w:r w:rsidR="00E9756C" w:rsidRPr="00700CDD">
        <w:rPr>
          <w:rFonts w:ascii="Times New Roman" w:hAnsi="Times New Roman"/>
          <w:sz w:val="24"/>
          <w:szCs w:val="24"/>
        </w:rPr>
        <w:t>sredstava</w:t>
      </w:r>
      <w:r w:rsidR="00650516" w:rsidRPr="00700CDD">
        <w:rPr>
          <w:rFonts w:ascii="Times New Roman" w:hAnsi="Times New Roman"/>
          <w:sz w:val="24"/>
          <w:szCs w:val="24"/>
        </w:rPr>
        <w:t xml:space="preserve"> u iznosu od </w:t>
      </w:r>
      <w:r w:rsidR="00D41A5C" w:rsidRPr="00700CDD">
        <w:rPr>
          <w:rFonts w:ascii="Times New Roman" w:hAnsi="Times New Roman"/>
          <w:sz w:val="24"/>
          <w:szCs w:val="24"/>
        </w:rPr>
        <w:t>41.535 eura</w:t>
      </w:r>
      <w:r w:rsidR="009D7632" w:rsidRPr="00700CDD">
        <w:rPr>
          <w:rFonts w:ascii="Times New Roman" w:hAnsi="Times New Roman"/>
          <w:sz w:val="24"/>
          <w:szCs w:val="24"/>
        </w:rPr>
        <w:t xml:space="preserve"> a odnose se na sredstva </w:t>
      </w:r>
      <w:bookmarkStart w:id="0" w:name="_Hlk215927131"/>
      <w:r w:rsidR="009D7632" w:rsidRPr="00700CDD">
        <w:rPr>
          <w:rFonts w:ascii="Times New Roman" w:hAnsi="Times New Roman"/>
          <w:sz w:val="24"/>
          <w:szCs w:val="24"/>
        </w:rPr>
        <w:t xml:space="preserve">Agencije za plaćanja u poljoprivredi, ribarstvu i ruralnom razvoju </w:t>
      </w:r>
      <w:bookmarkEnd w:id="0"/>
      <w:r w:rsidR="009D7632" w:rsidRPr="00700CDD">
        <w:rPr>
          <w:rFonts w:ascii="Times New Roman" w:hAnsi="Times New Roman"/>
          <w:sz w:val="24"/>
          <w:szCs w:val="24"/>
        </w:rPr>
        <w:t>za poticaje u iznosu od</w:t>
      </w:r>
      <w:r w:rsidR="00EF119A" w:rsidRPr="00700CDD">
        <w:rPr>
          <w:rFonts w:ascii="Times New Roman" w:hAnsi="Times New Roman"/>
          <w:sz w:val="24"/>
          <w:szCs w:val="24"/>
        </w:rPr>
        <w:t xml:space="preserve"> 5.</w:t>
      </w:r>
      <w:r w:rsidR="009A471C" w:rsidRPr="00700CDD">
        <w:rPr>
          <w:rFonts w:ascii="Times New Roman" w:hAnsi="Times New Roman"/>
          <w:sz w:val="24"/>
          <w:szCs w:val="24"/>
        </w:rPr>
        <w:t xml:space="preserve">162 eura te sredstva </w:t>
      </w:r>
      <w:r w:rsidR="009C5CD7" w:rsidRPr="00700CDD">
        <w:rPr>
          <w:rFonts w:ascii="Times New Roman" w:hAnsi="Times New Roman"/>
          <w:sz w:val="24"/>
          <w:szCs w:val="24"/>
        </w:rPr>
        <w:t xml:space="preserve">za provedbu Erasmus+ programa u iznosu od </w:t>
      </w:r>
      <w:r w:rsidR="00D41A5C" w:rsidRPr="00700CDD">
        <w:rPr>
          <w:rFonts w:ascii="Times New Roman" w:hAnsi="Times New Roman"/>
          <w:sz w:val="24"/>
          <w:szCs w:val="24"/>
        </w:rPr>
        <w:t>36.373 eura.</w:t>
      </w:r>
    </w:p>
    <w:p w14:paraId="5906D47D" w14:textId="37635178" w:rsidR="0033394C" w:rsidRPr="00700CDD" w:rsidRDefault="0033394C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0CDD">
        <w:rPr>
          <w:rFonts w:ascii="Times New Roman" w:hAnsi="Times New Roman"/>
          <w:sz w:val="24"/>
          <w:szCs w:val="24"/>
        </w:rPr>
        <w:t>-</w:t>
      </w:r>
      <w:r w:rsidR="006A593A" w:rsidRPr="00700CDD">
        <w:rPr>
          <w:rFonts w:ascii="Times New Roman" w:hAnsi="Times New Roman"/>
          <w:sz w:val="24"/>
          <w:szCs w:val="24"/>
        </w:rPr>
        <w:t>Kapitalni prijenosi između proračunskih korisnika istog proračuna temeljem prijenosa EU sredstava</w:t>
      </w:r>
      <w:r w:rsidR="00A75133" w:rsidRPr="00700CDD">
        <w:rPr>
          <w:rFonts w:ascii="Times New Roman" w:hAnsi="Times New Roman"/>
          <w:sz w:val="24"/>
          <w:szCs w:val="24"/>
        </w:rPr>
        <w:t xml:space="preserve"> u iznosu od 12.146 eura a odnose se na sredstva Ministarstva</w:t>
      </w:r>
      <w:r w:rsidR="00B86845" w:rsidRPr="00700CDD">
        <w:rPr>
          <w:rFonts w:ascii="Times New Roman" w:hAnsi="Times New Roman"/>
          <w:sz w:val="24"/>
          <w:szCs w:val="24"/>
        </w:rPr>
        <w:t xml:space="preserve"> prostornog uređenja</w:t>
      </w:r>
      <w:r w:rsidR="00B21B03" w:rsidRPr="00700CDD">
        <w:rPr>
          <w:rFonts w:ascii="Times New Roman" w:hAnsi="Times New Roman"/>
          <w:sz w:val="24"/>
          <w:szCs w:val="24"/>
        </w:rPr>
        <w:t>, graditeljstva</w:t>
      </w:r>
      <w:r w:rsidR="0014215B" w:rsidRPr="00700CDD">
        <w:rPr>
          <w:rFonts w:ascii="Times New Roman" w:hAnsi="Times New Roman"/>
          <w:sz w:val="24"/>
          <w:szCs w:val="24"/>
        </w:rPr>
        <w:t xml:space="preserve"> i državne imovine</w:t>
      </w:r>
      <w:r w:rsidR="00B86845" w:rsidRPr="00700CDD">
        <w:rPr>
          <w:rFonts w:ascii="Times New Roman" w:hAnsi="Times New Roman"/>
          <w:sz w:val="24"/>
          <w:szCs w:val="24"/>
        </w:rPr>
        <w:t xml:space="preserve"> za Energ</w:t>
      </w:r>
      <w:r w:rsidR="002D4125" w:rsidRPr="00700CDD">
        <w:rPr>
          <w:rFonts w:ascii="Times New Roman" w:hAnsi="Times New Roman"/>
          <w:sz w:val="24"/>
          <w:szCs w:val="24"/>
        </w:rPr>
        <w:t>etsku obnovu zgrade</w:t>
      </w:r>
      <w:r w:rsidR="00B639C8" w:rsidRPr="00700CDD">
        <w:rPr>
          <w:rFonts w:ascii="Times New Roman" w:hAnsi="Times New Roman"/>
          <w:sz w:val="24"/>
          <w:szCs w:val="24"/>
        </w:rPr>
        <w:t xml:space="preserve"> Fakulteta turizma i ruralnog razvoja</w:t>
      </w:r>
      <w:r w:rsidR="00F82A17" w:rsidRPr="00700CDD">
        <w:rPr>
          <w:rFonts w:ascii="Times New Roman" w:hAnsi="Times New Roman"/>
          <w:sz w:val="24"/>
          <w:szCs w:val="24"/>
        </w:rPr>
        <w:t xml:space="preserve"> na adresi Vukovarska 17, 34000 Požega</w:t>
      </w:r>
      <w:r w:rsidR="0014215B" w:rsidRPr="00700CDD">
        <w:rPr>
          <w:rFonts w:ascii="Times New Roman" w:hAnsi="Times New Roman"/>
          <w:sz w:val="24"/>
          <w:szCs w:val="24"/>
        </w:rPr>
        <w:t xml:space="preserve"> temeljem Ugovora o dodjeli bespovratnih sredstava za projekte koji se financiraju iz nacionalnog plana oporavka i otpornosti 2021.-2026.</w:t>
      </w:r>
      <w:r w:rsidR="00660484" w:rsidRPr="00700CDD">
        <w:rPr>
          <w:rFonts w:ascii="Times New Roman" w:hAnsi="Times New Roman"/>
          <w:sz w:val="24"/>
          <w:szCs w:val="24"/>
        </w:rPr>
        <w:t xml:space="preserve"> za projekt NPOO.C</w:t>
      </w:r>
      <w:r w:rsidR="00F65DCC" w:rsidRPr="00700CDD">
        <w:rPr>
          <w:rFonts w:ascii="Times New Roman" w:hAnsi="Times New Roman"/>
          <w:sz w:val="24"/>
          <w:szCs w:val="24"/>
        </w:rPr>
        <w:t>6.1.R1-I1.04.0058.</w:t>
      </w:r>
    </w:p>
    <w:p w14:paraId="1849A269" w14:textId="2E284AE1" w:rsidR="0057589B" w:rsidRPr="00700CDD" w:rsidRDefault="0057589B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0CDD">
        <w:rPr>
          <w:rFonts w:ascii="Times New Roman" w:hAnsi="Times New Roman"/>
          <w:sz w:val="24"/>
          <w:szCs w:val="24"/>
        </w:rPr>
        <w:t>581</w:t>
      </w:r>
      <w:r w:rsidR="006F7B61" w:rsidRPr="00700CDD">
        <w:rPr>
          <w:rFonts w:ascii="Times New Roman" w:hAnsi="Times New Roman"/>
          <w:sz w:val="24"/>
          <w:szCs w:val="24"/>
        </w:rPr>
        <w:t xml:space="preserve"> Mehanizam za oporavak i otpornost</w:t>
      </w:r>
    </w:p>
    <w:p w14:paraId="6DA0DB04" w14:textId="2621EE7C" w:rsidR="004A4B21" w:rsidRPr="00700CDD" w:rsidRDefault="00F07247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0CDD">
        <w:rPr>
          <w:rFonts w:ascii="Times New Roman" w:hAnsi="Times New Roman"/>
          <w:sz w:val="24"/>
          <w:szCs w:val="24"/>
        </w:rPr>
        <w:t>-</w:t>
      </w:r>
      <w:r w:rsidR="007E132D" w:rsidRPr="00700CDD">
        <w:rPr>
          <w:rFonts w:ascii="Times New Roman" w:hAnsi="Times New Roman"/>
          <w:sz w:val="24"/>
          <w:szCs w:val="24"/>
        </w:rPr>
        <w:t xml:space="preserve">Planirani prihodi </w:t>
      </w:r>
      <w:r w:rsidR="006B3B9F" w:rsidRPr="00700CDD">
        <w:rPr>
          <w:rFonts w:ascii="Times New Roman" w:hAnsi="Times New Roman"/>
          <w:sz w:val="24"/>
          <w:szCs w:val="24"/>
        </w:rPr>
        <w:t xml:space="preserve">planirani su u iznosu od 10.000 eura a </w:t>
      </w:r>
      <w:r w:rsidR="007E132D" w:rsidRPr="00700CDD">
        <w:rPr>
          <w:rFonts w:ascii="Times New Roman" w:hAnsi="Times New Roman"/>
          <w:sz w:val="24"/>
          <w:szCs w:val="24"/>
        </w:rPr>
        <w:t xml:space="preserve">odnose se na </w:t>
      </w:r>
      <w:r w:rsidR="006B3B9F" w:rsidRPr="00700CDD">
        <w:rPr>
          <w:rFonts w:ascii="Times New Roman" w:hAnsi="Times New Roman"/>
          <w:sz w:val="24"/>
          <w:szCs w:val="24"/>
        </w:rPr>
        <w:t>sredstva projekata iz NPOO programa u sklopu izvedbene komponente programskog ugovora.</w:t>
      </w:r>
    </w:p>
    <w:p w14:paraId="133A3E3A" w14:textId="702746FC" w:rsidR="00C311E7" w:rsidRPr="00700CDD" w:rsidRDefault="00C311E7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0CDD">
        <w:rPr>
          <w:rFonts w:ascii="Times New Roman" w:hAnsi="Times New Roman"/>
          <w:sz w:val="24"/>
          <w:szCs w:val="24"/>
        </w:rPr>
        <w:t>61 Donacije</w:t>
      </w:r>
    </w:p>
    <w:p w14:paraId="216B2A3F" w14:textId="77777777" w:rsidR="00785F06" w:rsidRPr="00700CDD" w:rsidRDefault="002F3592" w:rsidP="000A3D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00CDD">
        <w:rPr>
          <w:rFonts w:ascii="Times New Roman" w:hAnsi="Times New Roman"/>
          <w:sz w:val="24"/>
          <w:szCs w:val="24"/>
        </w:rPr>
        <w:t xml:space="preserve">  </w:t>
      </w:r>
      <w:r w:rsidR="00142732" w:rsidRPr="00700CDD">
        <w:rPr>
          <w:rFonts w:ascii="Times New Roman" w:hAnsi="Times New Roman"/>
          <w:sz w:val="24"/>
          <w:szCs w:val="24"/>
        </w:rPr>
        <w:t xml:space="preserve"> </w:t>
      </w:r>
      <w:r w:rsidRPr="00700CDD">
        <w:rPr>
          <w:rFonts w:ascii="Times New Roman" w:hAnsi="Times New Roman"/>
          <w:sz w:val="24"/>
          <w:szCs w:val="24"/>
        </w:rPr>
        <w:t xml:space="preserve"> </w:t>
      </w:r>
      <w:r w:rsidR="008F6B7D" w:rsidRPr="00700CDD">
        <w:rPr>
          <w:rFonts w:ascii="Times New Roman" w:hAnsi="Times New Roman"/>
          <w:sz w:val="24"/>
          <w:szCs w:val="24"/>
        </w:rPr>
        <w:t>-Tekuće donacije od trgovačkih društava</w:t>
      </w:r>
      <w:r w:rsidR="00B23F45" w:rsidRPr="00700CDD">
        <w:rPr>
          <w:rFonts w:ascii="Times New Roman" w:hAnsi="Times New Roman"/>
          <w:sz w:val="24"/>
          <w:szCs w:val="24"/>
        </w:rPr>
        <w:t xml:space="preserve"> u iznosu od 20.029 eura a odnose se </w:t>
      </w:r>
      <w:r w:rsidR="00001A6A" w:rsidRPr="00700CDD">
        <w:rPr>
          <w:rFonts w:ascii="Times New Roman" w:hAnsi="Times New Roman"/>
          <w:sz w:val="24"/>
          <w:szCs w:val="24"/>
        </w:rPr>
        <w:t>iznos od 18.50</w:t>
      </w:r>
      <w:r w:rsidR="001C6943" w:rsidRPr="00700CDD">
        <w:rPr>
          <w:rFonts w:ascii="Times New Roman" w:hAnsi="Times New Roman"/>
          <w:sz w:val="24"/>
          <w:szCs w:val="24"/>
        </w:rPr>
        <w:t>0</w:t>
      </w:r>
    </w:p>
    <w:p w14:paraId="3612EB1A" w14:textId="77777777" w:rsidR="00785F06" w:rsidRPr="00700CDD" w:rsidRDefault="00142732" w:rsidP="000A3D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700CDD">
        <w:rPr>
          <w:rFonts w:ascii="Times New Roman" w:hAnsi="Times New Roman"/>
          <w:sz w:val="24"/>
          <w:szCs w:val="24"/>
        </w:rPr>
        <w:t xml:space="preserve"> </w:t>
      </w:r>
      <w:r w:rsidR="001C6943" w:rsidRPr="00700CDD">
        <w:rPr>
          <w:rFonts w:ascii="Times New Roman" w:hAnsi="Times New Roman"/>
          <w:sz w:val="24"/>
          <w:szCs w:val="24"/>
        </w:rPr>
        <w:t xml:space="preserve">   </w:t>
      </w:r>
      <w:r w:rsidR="00CF3EF1" w:rsidRPr="00700CDD">
        <w:rPr>
          <w:rFonts w:ascii="Times New Roman" w:hAnsi="Times New Roman"/>
          <w:sz w:val="24"/>
          <w:szCs w:val="24"/>
        </w:rPr>
        <w:t xml:space="preserve"> eura </w:t>
      </w:r>
      <w:r w:rsidR="00001A6A" w:rsidRPr="00700CDD">
        <w:rPr>
          <w:rFonts w:ascii="Times New Roman" w:hAnsi="Times New Roman"/>
          <w:sz w:val="24"/>
          <w:szCs w:val="24"/>
        </w:rPr>
        <w:t xml:space="preserve">za provedbu projekta </w:t>
      </w:r>
      <w:r w:rsidR="0032378F" w:rsidRPr="00700CD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Pregled </w:t>
      </w:r>
      <w:r w:rsidR="0032378F" w:rsidRPr="00700CDD">
        <w:rPr>
          <w:rFonts w:ascii="Times New Roman" w:eastAsia="HiddenHorzOCR" w:hAnsi="Times New Roman"/>
          <w:bCs/>
          <w:sz w:val="24"/>
          <w:szCs w:val="24"/>
          <w:lang w:eastAsia="en-US"/>
        </w:rPr>
        <w:t xml:space="preserve">turističkih </w:t>
      </w:r>
      <w:r w:rsidR="0032378F" w:rsidRPr="00700CDD">
        <w:rPr>
          <w:rFonts w:ascii="Times New Roman" w:eastAsiaTheme="minorHAnsi" w:hAnsi="Times New Roman"/>
          <w:bCs/>
          <w:sz w:val="24"/>
          <w:szCs w:val="24"/>
          <w:lang w:eastAsia="en-US"/>
        </w:rPr>
        <w:t>atrakcija putem proširene stvarnosti</w:t>
      </w:r>
    </w:p>
    <w:p w14:paraId="0753DF72" w14:textId="5A5DB3A5" w:rsidR="00785F06" w:rsidRPr="00700CDD" w:rsidRDefault="00785F06" w:rsidP="000A3D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700CD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  </w:t>
      </w:r>
      <w:r w:rsidR="00332CF8" w:rsidRPr="00700CD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32378F" w:rsidRPr="00700CDD">
        <w:rPr>
          <w:rFonts w:ascii="Times New Roman" w:eastAsiaTheme="minorHAnsi" w:hAnsi="Times New Roman"/>
          <w:bCs/>
          <w:sz w:val="24"/>
          <w:szCs w:val="24"/>
          <w:lang w:eastAsia="en-US"/>
        </w:rPr>
        <w:t>IP.1.1.03.0043</w:t>
      </w:r>
      <w:r w:rsidR="004A628B" w:rsidRPr="00700CD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332CF8" w:rsidRPr="00700CDD">
        <w:rPr>
          <w:rFonts w:ascii="Times New Roman" w:eastAsiaTheme="minorHAnsi" w:hAnsi="Times New Roman"/>
          <w:bCs/>
          <w:sz w:val="24"/>
          <w:szCs w:val="24"/>
          <w:lang w:eastAsia="en-US"/>
        </w:rPr>
        <w:t>koji</w:t>
      </w:r>
      <w:r w:rsidR="0032378F" w:rsidRPr="00700CD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se financira temeljem Ugovora o dodjeli bespovratnih sredstava</w:t>
      </w:r>
      <w:r w:rsidR="00AE47E0" w:rsidRPr="00700CD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32378F" w:rsidRPr="00700CDD">
        <w:rPr>
          <w:rFonts w:ascii="Times New Roman" w:eastAsiaTheme="minorHAnsi" w:hAnsi="Times New Roman"/>
          <w:bCs/>
          <w:sz w:val="24"/>
          <w:szCs w:val="24"/>
          <w:lang w:eastAsia="en-US"/>
        </w:rPr>
        <w:t>iz</w:t>
      </w:r>
    </w:p>
    <w:p w14:paraId="3C420C3C" w14:textId="77777777" w:rsidR="00785F06" w:rsidRPr="00700CDD" w:rsidRDefault="0032378F" w:rsidP="000A3D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700CD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2F3592" w:rsidRPr="00700CD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  </w:t>
      </w:r>
      <w:r w:rsidRPr="00700CDD">
        <w:rPr>
          <w:rFonts w:ascii="Times New Roman" w:eastAsiaTheme="minorHAnsi" w:hAnsi="Times New Roman"/>
          <w:bCs/>
          <w:sz w:val="24"/>
          <w:szCs w:val="24"/>
          <w:lang w:eastAsia="en-US"/>
        </w:rPr>
        <w:t>„Integriranog teritorijalnog programa“ u financijskom razdoblju 2021.-2027.</w:t>
      </w:r>
      <w:r w:rsidR="00AE47E0" w:rsidRPr="00700CD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te iznos od 1.529</w:t>
      </w:r>
    </w:p>
    <w:p w14:paraId="0A095AF1" w14:textId="087E14D3" w:rsidR="008F6B7D" w:rsidRPr="00700CDD" w:rsidRDefault="00785F06" w:rsidP="000A3D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00CD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  </w:t>
      </w:r>
      <w:r w:rsidR="00AE47E0" w:rsidRPr="00700CD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eura </w:t>
      </w:r>
      <w:r w:rsidR="000A3D6C" w:rsidRPr="00700CDD">
        <w:rPr>
          <w:rFonts w:ascii="Times New Roman" w:eastAsiaTheme="minorHAnsi" w:hAnsi="Times New Roman"/>
          <w:bCs/>
          <w:sz w:val="24"/>
          <w:szCs w:val="24"/>
          <w:lang w:eastAsia="en-US"/>
        </w:rPr>
        <w:t>za provedbu projekta Inkluzivnost kroz prehranu</w:t>
      </w:r>
      <w:r w:rsidR="00EE545F" w:rsidRPr="00700CD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temeljem Sporazuma o partnerstvu</w:t>
      </w:r>
      <w:r w:rsidR="000A3D6C" w:rsidRPr="00700CDD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0D5A87F2" w14:textId="77777777" w:rsidR="000A3D6C" w:rsidRPr="00700CDD" w:rsidRDefault="000A3D6C" w:rsidP="000A3D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E417D68" w14:textId="736012B4" w:rsidR="00DB1AAF" w:rsidRPr="00700CDD" w:rsidRDefault="009B05D4" w:rsidP="00DB1AAF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0CDD">
        <w:rPr>
          <w:rFonts w:ascii="Times New Roman" w:hAnsi="Times New Roman"/>
          <w:sz w:val="24"/>
          <w:szCs w:val="24"/>
        </w:rPr>
        <w:t xml:space="preserve">71 </w:t>
      </w:r>
      <w:r w:rsidR="00DB1AAF" w:rsidRPr="00700CDD">
        <w:rPr>
          <w:rFonts w:ascii="Times New Roman" w:hAnsi="Times New Roman"/>
          <w:sz w:val="24"/>
          <w:szCs w:val="24"/>
        </w:rPr>
        <w:t xml:space="preserve">Prihodi od prodaje nefinancijske imovine planirani su u iznosu od 1.507 eura a odnose se na prihode od prodaje vozila </w:t>
      </w:r>
      <w:r w:rsidR="00B77AD7" w:rsidRPr="00700CDD">
        <w:rPr>
          <w:rFonts w:ascii="Times New Roman" w:hAnsi="Times New Roman"/>
          <w:sz w:val="24"/>
          <w:szCs w:val="24"/>
        </w:rPr>
        <w:t>u cestovnom prometu</w:t>
      </w:r>
      <w:r w:rsidR="00A96D4D" w:rsidRPr="00700CDD">
        <w:rPr>
          <w:rFonts w:ascii="Times New Roman" w:hAnsi="Times New Roman"/>
          <w:sz w:val="24"/>
          <w:szCs w:val="24"/>
        </w:rPr>
        <w:t>.</w:t>
      </w:r>
    </w:p>
    <w:p w14:paraId="18C3832F" w14:textId="77777777" w:rsidR="007D5688" w:rsidRPr="00700CDD" w:rsidRDefault="007D5688" w:rsidP="00DB1AAF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5F4514E" w14:textId="77777777" w:rsidR="007D5688" w:rsidRPr="00700CDD" w:rsidRDefault="007D5688" w:rsidP="00DB1AAF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829"/>
        <w:gridCol w:w="4269"/>
        <w:gridCol w:w="1134"/>
        <w:gridCol w:w="1134"/>
        <w:gridCol w:w="1134"/>
        <w:gridCol w:w="993"/>
      </w:tblGrid>
      <w:tr w:rsidR="00700CDD" w:rsidRPr="00700CDD" w14:paraId="6E849BF2" w14:textId="77777777" w:rsidTr="00CB0F00">
        <w:trPr>
          <w:jc w:val="center"/>
        </w:trPr>
        <w:tc>
          <w:tcPr>
            <w:tcW w:w="829" w:type="dxa"/>
            <w:shd w:val="clear" w:color="auto" w:fill="B4C6E7"/>
            <w:vAlign w:val="center"/>
            <w:hideMark/>
          </w:tcPr>
          <w:p w14:paraId="26E816C1" w14:textId="77777777" w:rsidR="00AD2A25" w:rsidRPr="00700CDD" w:rsidRDefault="00AD2A25" w:rsidP="00A152E4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lastRenderedPageBreak/>
              <w:t>Račun</w:t>
            </w:r>
          </w:p>
        </w:tc>
        <w:tc>
          <w:tcPr>
            <w:tcW w:w="4269" w:type="dxa"/>
            <w:shd w:val="clear" w:color="auto" w:fill="B4C6E7"/>
            <w:vAlign w:val="center"/>
            <w:hideMark/>
          </w:tcPr>
          <w:p w14:paraId="30BDA096" w14:textId="77777777" w:rsidR="00AD2A25" w:rsidRPr="00700CDD" w:rsidRDefault="00AD2A25" w:rsidP="00A152E4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Opis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75C6765A" w14:textId="26547B8E" w:rsidR="00AD2A25" w:rsidRPr="00700CDD" w:rsidRDefault="00AD2A25" w:rsidP="00A152E4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Plan 202</w:t>
            </w:r>
            <w:r w:rsidR="001952C4" w:rsidRPr="00700CDD">
              <w:rPr>
                <w:rFonts w:ascii="Times New Roman" w:hAnsi="Times New Roman"/>
                <w:b/>
                <w:szCs w:val="24"/>
                <w:lang w:eastAsia="en-US"/>
              </w:rPr>
              <w:t>5</w:t>
            </w: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.</w:t>
            </w:r>
            <w:r w:rsidR="001952C4" w:rsidRPr="00700CDD">
              <w:rPr>
                <w:rFonts w:ascii="Times New Roman" w:hAnsi="Times New Roman"/>
                <w:b/>
                <w:szCs w:val="24"/>
                <w:lang w:eastAsia="en-US"/>
              </w:rPr>
              <w:t xml:space="preserve"> godina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59B74F0F" w14:textId="77777777" w:rsidR="00AD2A25" w:rsidRPr="00700CDD" w:rsidRDefault="00AD2A25" w:rsidP="00A152E4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Povećanje/smanjenje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6860CFBC" w14:textId="2898F948" w:rsidR="00AD2A25" w:rsidRPr="00700CDD" w:rsidRDefault="00AD2A25" w:rsidP="00A152E4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Novi plan 202</w:t>
            </w:r>
            <w:r w:rsidR="001952C4" w:rsidRPr="00700CDD">
              <w:rPr>
                <w:rFonts w:ascii="Times New Roman" w:hAnsi="Times New Roman"/>
                <w:b/>
                <w:szCs w:val="24"/>
                <w:lang w:eastAsia="en-US"/>
              </w:rPr>
              <w:t>5</w:t>
            </w: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.</w:t>
            </w:r>
            <w:r w:rsidR="001952C4" w:rsidRPr="00700CDD">
              <w:rPr>
                <w:rFonts w:ascii="Times New Roman" w:hAnsi="Times New Roman"/>
                <w:b/>
                <w:szCs w:val="24"/>
                <w:lang w:eastAsia="en-US"/>
              </w:rPr>
              <w:t xml:space="preserve"> godina</w:t>
            </w:r>
          </w:p>
        </w:tc>
        <w:tc>
          <w:tcPr>
            <w:tcW w:w="993" w:type="dxa"/>
            <w:shd w:val="clear" w:color="auto" w:fill="B4C6E7"/>
            <w:vAlign w:val="center"/>
          </w:tcPr>
          <w:p w14:paraId="650E3E9B" w14:textId="77777777" w:rsidR="00AD2A25" w:rsidRPr="00700CDD" w:rsidRDefault="00AD2A25" w:rsidP="00A152E4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Indeks</w:t>
            </w:r>
          </w:p>
        </w:tc>
      </w:tr>
      <w:tr w:rsidR="00700CDD" w:rsidRPr="00700CDD" w14:paraId="20481FDD" w14:textId="77777777" w:rsidTr="00CB0F00">
        <w:trPr>
          <w:jc w:val="center"/>
        </w:trPr>
        <w:tc>
          <w:tcPr>
            <w:tcW w:w="829" w:type="dxa"/>
            <w:vAlign w:val="center"/>
          </w:tcPr>
          <w:p w14:paraId="705F725F" w14:textId="77777777" w:rsidR="00AD2A25" w:rsidRPr="00700CDD" w:rsidRDefault="00AD2A25" w:rsidP="00A152E4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6</w:t>
            </w:r>
          </w:p>
        </w:tc>
        <w:tc>
          <w:tcPr>
            <w:tcW w:w="4269" w:type="dxa"/>
            <w:vAlign w:val="center"/>
          </w:tcPr>
          <w:p w14:paraId="18B3903D" w14:textId="77777777" w:rsidR="00AD2A25" w:rsidRPr="00700CDD" w:rsidRDefault="00AD2A25" w:rsidP="00A152E4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Prihodi poslovanja</w:t>
            </w:r>
          </w:p>
        </w:tc>
        <w:tc>
          <w:tcPr>
            <w:tcW w:w="1134" w:type="dxa"/>
            <w:vAlign w:val="center"/>
          </w:tcPr>
          <w:p w14:paraId="3BB13307" w14:textId="6492D0AA" w:rsidR="00AD2A25" w:rsidRPr="00700CDD" w:rsidRDefault="0088626D" w:rsidP="00A152E4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2.279.990</w:t>
            </w:r>
          </w:p>
        </w:tc>
        <w:tc>
          <w:tcPr>
            <w:tcW w:w="1134" w:type="dxa"/>
            <w:vAlign w:val="center"/>
          </w:tcPr>
          <w:p w14:paraId="17FF563B" w14:textId="6154A4BB" w:rsidR="00AD2A25" w:rsidRPr="00700CDD" w:rsidRDefault="008A5D74" w:rsidP="00A152E4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20</w:t>
            </w:r>
            <w:r w:rsidR="00CB0F00" w:rsidRPr="00700CDD">
              <w:rPr>
                <w:rFonts w:ascii="Times New Roman" w:hAnsi="Times New Roman"/>
                <w:b/>
                <w:szCs w:val="24"/>
                <w:lang w:eastAsia="en-US"/>
              </w:rPr>
              <w:t>0.478</w:t>
            </w:r>
          </w:p>
        </w:tc>
        <w:tc>
          <w:tcPr>
            <w:tcW w:w="1134" w:type="dxa"/>
            <w:vAlign w:val="center"/>
          </w:tcPr>
          <w:p w14:paraId="399BE23C" w14:textId="0F3D8603" w:rsidR="00AD2A25" w:rsidRPr="00700CDD" w:rsidRDefault="0040111A" w:rsidP="00A152E4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2.48</w:t>
            </w:r>
            <w:r w:rsidR="00341DA4" w:rsidRPr="00700CDD">
              <w:rPr>
                <w:rFonts w:ascii="Times New Roman" w:hAnsi="Times New Roman"/>
                <w:b/>
                <w:szCs w:val="24"/>
                <w:lang w:eastAsia="en-US"/>
              </w:rPr>
              <w:t>0.468</w:t>
            </w:r>
          </w:p>
        </w:tc>
        <w:tc>
          <w:tcPr>
            <w:tcW w:w="993" w:type="dxa"/>
            <w:vAlign w:val="center"/>
          </w:tcPr>
          <w:p w14:paraId="2C42F89B" w14:textId="5F9CC664" w:rsidR="00AD2A25" w:rsidRPr="00700CDD" w:rsidRDefault="00F43FBB" w:rsidP="00A152E4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109,00</w:t>
            </w:r>
          </w:p>
        </w:tc>
      </w:tr>
      <w:tr w:rsidR="00700CDD" w:rsidRPr="00700CDD" w14:paraId="0D45E9E3" w14:textId="77777777" w:rsidTr="00CB0F00">
        <w:trPr>
          <w:jc w:val="center"/>
        </w:trPr>
        <w:tc>
          <w:tcPr>
            <w:tcW w:w="829" w:type="dxa"/>
            <w:vAlign w:val="center"/>
          </w:tcPr>
          <w:p w14:paraId="09FB14B1" w14:textId="77777777" w:rsidR="00AD2A25" w:rsidRPr="00700CDD" w:rsidRDefault="00AD2A25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63</w:t>
            </w:r>
          </w:p>
        </w:tc>
        <w:tc>
          <w:tcPr>
            <w:tcW w:w="4269" w:type="dxa"/>
            <w:vAlign w:val="center"/>
          </w:tcPr>
          <w:p w14:paraId="00556EA5" w14:textId="77777777" w:rsidR="00AD2A25" w:rsidRPr="00700CDD" w:rsidRDefault="00AD2A25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Pomoći iz inozemstva i od subjekata unutar općeg proračuna</w:t>
            </w:r>
          </w:p>
        </w:tc>
        <w:tc>
          <w:tcPr>
            <w:tcW w:w="1134" w:type="dxa"/>
            <w:vAlign w:val="center"/>
          </w:tcPr>
          <w:p w14:paraId="68826716" w14:textId="7A70E0A9" w:rsidR="00AD2A25" w:rsidRPr="00700CDD" w:rsidRDefault="0088626D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50.000</w:t>
            </w:r>
          </w:p>
        </w:tc>
        <w:tc>
          <w:tcPr>
            <w:tcW w:w="1134" w:type="dxa"/>
            <w:vAlign w:val="center"/>
          </w:tcPr>
          <w:p w14:paraId="6DB9AB34" w14:textId="4E28DF8E" w:rsidR="00AD2A25" w:rsidRPr="00700CDD" w:rsidRDefault="0040111A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48.787</w:t>
            </w:r>
          </w:p>
        </w:tc>
        <w:tc>
          <w:tcPr>
            <w:tcW w:w="1134" w:type="dxa"/>
            <w:vAlign w:val="center"/>
          </w:tcPr>
          <w:p w14:paraId="06E9EDEB" w14:textId="4E1D29F8" w:rsidR="00AD2A25" w:rsidRPr="00700CDD" w:rsidRDefault="0040111A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98.787</w:t>
            </w:r>
          </w:p>
        </w:tc>
        <w:tc>
          <w:tcPr>
            <w:tcW w:w="993" w:type="dxa"/>
            <w:vAlign w:val="center"/>
          </w:tcPr>
          <w:p w14:paraId="575905F2" w14:textId="3B6E31CD" w:rsidR="00AD2A25" w:rsidRPr="00700CDD" w:rsidRDefault="00A37516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198,00</w:t>
            </w:r>
          </w:p>
        </w:tc>
      </w:tr>
      <w:tr w:rsidR="00700CDD" w:rsidRPr="00700CDD" w14:paraId="3FDF6A3D" w14:textId="77777777" w:rsidTr="00CB0F00">
        <w:trPr>
          <w:jc w:val="center"/>
        </w:trPr>
        <w:tc>
          <w:tcPr>
            <w:tcW w:w="829" w:type="dxa"/>
            <w:vAlign w:val="center"/>
          </w:tcPr>
          <w:p w14:paraId="4E2A5C31" w14:textId="77777777" w:rsidR="00AD2A25" w:rsidRPr="00700CDD" w:rsidRDefault="00AD2A25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64</w:t>
            </w:r>
          </w:p>
        </w:tc>
        <w:tc>
          <w:tcPr>
            <w:tcW w:w="4269" w:type="dxa"/>
            <w:vAlign w:val="center"/>
          </w:tcPr>
          <w:p w14:paraId="4A1F9C84" w14:textId="77777777" w:rsidR="00AD2A25" w:rsidRPr="00700CDD" w:rsidRDefault="00AD2A25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Prihodi od imovine</w:t>
            </w:r>
          </w:p>
        </w:tc>
        <w:tc>
          <w:tcPr>
            <w:tcW w:w="1134" w:type="dxa"/>
            <w:vAlign w:val="center"/>
          </w:tcPr>
          <w:p w14:paraId="39C45031" w14:textId="282450E7" w:rsidR="00AD2A25" w:rsidRPr="00700CDD" w:rsidRDefault="0088626D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1.500</w:t>
            </w:r>
          </w:p>
        </w:tc>
        <w:tc>
          <w:tcPr>
            <w:tcW w:w="1134" w:type="dxa"/>
            <w:vAlign w:val="center"/>
          </w:tcPr>
          <w:p w14:paraId="3B453248" w14:textId="4FDFE303" w:rsidR="00AD2A25" w:rsidRPr="00700CDD" w:rsidRDefault="0040111A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68A6BCC2" w14:textId="689978A8" w:rsidR="00AD2A25" w:rsidRPr="00700CDD" w:rsidRDefault="0040111A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1.500</w:t>
            </w:r>
          </w:p>
        </w:tc>
        <w:tc>
          <w:tcPr>
            <w:tcW w:w="993" w:type="dxa"/>
            <w:vAlign w:val="center"/>
          </w:tcPr>
          <w:p w14:paraId="5FA45F0D" w14:textId="6E4EE397" w:rsidR="00AD2A25" w:rsidRPr="00700CDD" w:rsidRDefault="00A37516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100,00</w:t>
            </w:r>
          </w:p>
        </w:tc>
      </w:tr>
      <w:tr w:rsidR="00700CDD" w:rsidRPr="00700CDD" w14:paraId="413C7436" w14:textId="77777777" w:rsidTr="00CB0F00">
        <w:trPr>
          <w:jc w:val="center"/>
        </w:trPr>
        <w:tc>
          <w:tcPr>
            <w:tcW w:w="829" w:type="dxa"/>
            <w:vAlign w:val="center"/>
          </w:tcPr>
          <w:p w14:paraId="78FB6AF1" w14:textId="77777777" w:rsidR="00AD2A25" w:rsidRPr="00700CDD" w:rsidRDefault="00AD2A25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65</w:t>
            </w:r>
          </w:p>
        </w:tc>
        <w:tc>
          <w:tcPr>
            <w:tcW w:w="4269" w:type="dxa"/>
            <w:vAlign w:val="center"/>
          </w:tcPr>
          <w:p w14:paraId="60429603" w14:textId="77777777" w:rsidR="00AD2A25" w:rsidRPr="00700CDD" w:rsidRDefault="00AD2A25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Prihodi od upravnih i administrativnih pristojbi, pristojbi po posebnim propisima i naknada</w:t>
            </w:r>
          </w:p>
        </w:tc>
        <w:tc>
          <w:tcPr>
            <w:tcW w:w="1134" w:type="dxa"/>
            <w:vAlign w:val="center"/>
          </w:tcPr>
          <w:p w14:paraId="7581D1AB" w14:textId="5A633CC7" w:rsidR="00AD2A25" w:rsidRPr="00700CDD" w:rsidRDefault="0088626D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320.500</w:t>
            </w:r>
          </w:p>
        </w:tc>
        <w:tc>
          <w:tcPr>
            <w:tcW w:w="1134" w:type="dxa"/>
            <w:vAlign w:val="center"/>
          </w:tcPr>
          <w:p w14:paraId="1055927F" w14:textId="6C7BF278" w:rsidR="00AD2A25" w:rsidRPr="00700CDD" w:rsidRDefault="00C76EE3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-155.000</w:t>
            </w:r>
          </w:p>
        </w:tc>
        <w:tc>
          <w:tcPr>
            <w:tcW w:w="1134" w:type="dxa"/>
            <w:vAlign w:val="center"/>
          </w:tcPr>
          <w:p w14:paraId="3DE1D1E7" w14:textId="1A1FDEB4" w:rsidR="00AD2A25" w:rsidRPr="00700CDD" w:rsidRDefault="00C76EE3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165.500</w:t>
            </w:r>
          </w:p>
        </w:tc>
        <w:tc>
          <w:tcPr>
            <w:tcW w:w="993" w:type="dxa"/>
            <w:vAlign w:val="center"/>
          </w:tcPr>
          <w:p w14:paraId="1B3E5480" w14:textId="44984FA1" w:rsidR="00AD2A25" w:rsidRPr="00700CDD" w:rsidRDefault="00A37516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52,00</w:t>
            </w:r>
          </w:p>
        </w:tc>
      </w:tr>
      <w:tr w:rsidR="00700CDD" w:rsidRPr="00700CDD" w14:paraId="1A97A8B6" w14:textId="77777777" w:rsidTr="00CB0F00">
        <w:trPr>
          <w:jc w:val="center"/>
        </w:trPr>
        <w:tc>
          <w:tcPr>
            <w:tcW w:w="829" w:type="dxa"/>
            <w:vAlign w:val="center"/>
          </w:tcPr>
          <w:p w14:paraId="474320EC" w14:textId="77777777" w:rsidR="00AD2A25" w:rsidRPr="00700CDD" w:rsidRDefault="00AD2A25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66</w:t>
            </w:r>
          </w:p>
        </w:tc>
        <w:tc>
          <w:tcPr>
            <w:tcW w:w="4269" w:type="dxa"/>
            <w:vAlign w:val="center"/>
          </w:tcPr>
          <w:p w14:paraId="7552C763" w14:textId="77777777" w:rsidR="00AD2A25" w:rsidRPr="00700CDD" w:rsidRDefault="00AD2A25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Prihodi od prodaje proizvoda i robe te pruženih usluga, prihodi od donacija te povrati po protestiranim jamstvima</w:t>
            </w:r>
          </w:p>
        </w:tc>
        <w:tc>
          <w:tcPr>
            <w:tcW w:w="1134" w:type="dxa"/>
            <w:vAlign w:val="center"/>
          </w:tcPr>
          <w:p w14:paraId="03B81003" w14:textId="6F0B6639" w:rsidR="00AD2A25" w:rsidRPr="00700CDD" w:rsidRDefault="00141B3A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50.000</w:t>
            </w:r>
          </w:p>
        </w:tc>
        <w:tc>
          <w:tcPr>
            <w:tcW w:w="1134" w:type="dxa"/>
            <w:vAlign w:val="center"/>
          </w:tcPr>
          <w:p w14:paraId="474AFE0F" w14:textId="613F8BF4" w:rsidR="00AD2A25" w:rsidRPr="00700CDD" w:rsidRDefault="00C76EE3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83.029</w:t>
            </w:r>
          </w:p>
        </w:tc>
        <w:tc>
          <w:tcPr>
            <w:tcW w:w="1134" w:type="dxa"/>
            <w:vAlign w:val="center"/>
          </w:tcPr>
          <w:p w14:paraId="23015D6B" w14:textId="70C3E10F" w:rsidR="00AD2A25" w:rsidRPr="00700CDD" w:rsidRDefault="00C76EE3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133.029</w:t>
            </w:r>
          </w:p>
        </w:tc>
        <w:tc>
          <w:tcPr>
            <w:tcW w:w="993" w:type="dxa"/>
            <w:vAlign w:val="center"/>
          </w:tcPr>
          <w:p w14:paraId="06698ECB" w14:textId="2FFABBD9" w:rsidR="00AD2A25" w:rsidRPr="00700CDD" w:rsidRDefault="00CB346F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266,00</w:t>
            </w:r>
          </w:p>
        </w:tc>
      </w:tr>
      <w:tr w:rsidR="00700CDD" w:rsidRPr="00700CDD" w14:paraId="1F94D3ED" w14:textId="77777777" w:rsidTr="00CB0F00">
        <w:trPr>
          <w:jc w:val="center"/>
        </w:trPr>
        <w:tc>
          <w:tcPr>
            <w:tcW w:w="829" w:type="dxa"/>
            <w:vAlign w:val="center"/>
          </w:tcPr>
          <w:p w14:paraId="473012FA" w14:textId="77777777" w:rsidR="00AD2A25" w:rsidRPr="00700CDD" w:rsidRDefault="00AD2A25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67</w:t>
            </w:r>
          </w:p>
        </w:tc>
        <w:tc>
          <w:tcPr>
            <w:tcW w:w="4269" w:type="dxa"/>
            <w:vAlign w:val="center"/>
          </w:tcPr>
          <w:p w14:paraId="1A54D7E4" w14:textId="77777777" w:rsidR="00AD2A25" w:rsidRPr="00700CDD" w:rsidRDefault="00AD2A25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Prihodi iz nadležnog proračuna i od HZZO-a temeljem ugovornih obveza</w:t>
            </w:r>
          </w:p>
        </w:tc>
        <w:tc>
          <w:tcPr>
            <w:tcW w:w="1134" w:type="dxa"/>
            <w:vAlign w:val="center"/>
          </w:tcPr>
          <w:p w14:paraId="43EAFBDA" w14:textId="3ED624C0" w:rsidR="00AD2A25" w:rsidRPr="00700CDD" w:rsidRDefault="00141B3A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1.852.990</w:t>
            </w:r>
          </w:p>
        </w:tc>
        <w:tc>
          <w:tcPr>
            <w:tcW w:w="1134" w:type="dxa"/>
            <w:vAlign w:val="center"/>
          </w:tcPr>
          <w:p w14:paraId="28CCB29D" w14:textId="40ADBAE5" w:rsidR="00AD2A25" w:rsidRPr="00700CDD" w:rsidRDefault="00A91A24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221.162</w:t>
            </w:r>
          </w:p>
        </w:tc>
        <w:tc>
          <w:tcPr>
            <w:tcW w:w="1134" w:type="dxa"/>
            <w:vAlign w:val="center"/>
          </w:tcPr>
          <w:p w14:paraId="4FECF166" w14:textId="00A00FB7" w:rsidR="00AD2A25" w:rsidRPr="00700CDD" w:rsidRDefault="00A91A24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2.074.152</w:t>
            </w:r>
          </w:p>
        </w:tc>
        <w:tc>
          <w:tcPr>
            <w:tcW w:w="993" w:type="dxa"/>
            <w:vAlign w:val="center"/>
          </w:tcPr>
          <w:p w14:paraId="4FF5B104" w14:textId="37CDF6E4" w:rsidR="00AD2A25" w:rsidRPr="00700CDD" w:rsidRDefault="00CB346F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112,00</w:t>
            </w:r>
          </w:p>
        </w:tc>
      </w:tr>
      <w:tr w:rsidR="00700CDD" w:rsidRPr="00700CDD" w14:paraId="53061269" w14:textId="77777777" w:rsidTr="00CB0F00">
        <w:trPr>
          <w:jc w:val="center"/>
        </w:trPr>
        <w:tc>
          <w:tcPr>
            <w:tcW w:w="829" w:type="dxa"/>
            <w:vAlign w:val="center"/>
          </w:tcPr>
          <w:p w14:paraId="2B92ED09" w14:textId="77777777" w:rsidR="00AD2A25" w:rsidRPr="00700CDD" w:rsidRDefault="00AD2A25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68</w:t>
            </w:r>
          </w:p>
        </w:tc>
        <w:tc>
          <w:tcPr>
            <w:tcW w:w="4269" w:type="dxa"/>
            <w:vAlign w:val="center"/>
          </w:tcPr>
          <w:p w14:paraId="3E9C461D" w14:textId="77777777" w:rsidR="00AD2A25" w:rsidRPr="00700CDD" w:rsidRDefault="00AD2A25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Kazne, upravne mjere i ostali prihodi</w:t>
            </w:r>
          </w:p>
        </w:tc>
        <w:tc>
          <w:tcPr>
            <w:tcW w:w="1134" w:type="dxa"/>
            <w:vAlign w:val="center"/>
          </w:tcPr>
          <w:p w14:paraId="0C3AAA31" w14:textId="798D5581" w:rsidR="00AD2A25" w:rsidRPr="00700CDD" w:rsidRDefault="00141B3A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5.000</w:t>
            </w:r>
          </w:p>
        </w:tc>
        <w:tc>
          <w:tcPr>
            <w:tcW w:w="1134" w:type="dxa"/>
            <w:vAlign w:val="center"/>
          </w:tcPr>
          <w:p w14:paraId="419FE39B" w14:textId="5E8E2B8D" w:rsidR="00AD2A25" w:rsidRPr="00700CDD" w:rsidRDefault="00A91A24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2.500</w:t>
            </w:r>
          </w:p>
        </w:tc>
        <w:tc>
          <w:tcPr>
            <w:tcW w:w="1134" w:type="dxa"/>
            <w:vAlign w:val="center"/>
          </w:tcPr>
          <w:p w14:paraId="2DEB87ED" w14:textId="74D5CB0D" w:rsidR="00AD2A25" w:rsidRPr="00700CDD" w:rsidRDefault="00A91A24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7.500</w:t>
            </w:r>
          </w:p>
        </w:tc>
        <w:tc>
          <w:tcPr>
            <w:tcW w:w="993" w:type="dxa"/>
            <w:vAlign w:val="center"/>
          </w:tcPr>
          <w:p w14:paraId="3FCA680A" w14:textId="2D173864" w:rsidR="00AD2A25" w:rsidRPr="00700CDD" w:rsidRDefault="00CB346F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150,00</w:t>
            </w:r>
          </w:p>
        </w:tc>
      </w:tr>
      <w:tr w:rsidR="00700CDD" w:rsidRPr="00700CDD" w14:paraId="18863171" w14:textId="77777777" w:rsidTr="00CB0F00">
        <w:trPr>
          <w:jc w:val="center"/>
        </w:trPr>
        <w:tc>
          <w:tcPr>
            <w:tcW w:w="829" w:type="dxa"/>
            <w:vAlign w:val="center"/>
          </w:tcPr>
          <w:p w14:paraId="2AFD2AA0" w14:textId="77777777" w:rsidR="00AD2A25" w:rsidRPr="00700CDD" w:rsidRDefault="00AD2A25" w:rsidP="00A152E4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7</w:t>
            </w:r>
          </w:p>
        </w:tc>
        <w:tc>
          <w:tcPr>
            <w:tcW w:w="4269" w:type="dxa"/>
            <w:vAlign w:val="center"/>
          </w:tcPr>
          <w:p w14:paraId="4D5905DB" w14:textId="77777777" w:rsidR="00AD2A25" w:rsidRPr="00700CDD" w:rsidRDefault="00AD2A25" w:rsidP="00A152E4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Prihodi od prodaje nefinancijske imovine</w:t>
            </w:r>
          </w:p>
        </w:tc>
        <w:tc>
          <w:tcPr>
            <w:tcW w:w="1134" w:type="dxa"/>
            <w:vAlign w:val="center"/>
          </w:tcPr>
          <w:p w14:paraId="6B427234" w14:textId="3E161C97" w:rsidR="00AD2A25" w:rsidRPr="00700CDD" w:rsidRDefault="00141B3A" w:rsidP="00A152E4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6F243850" w14:textId="3B1D4CD7" w:rsidR="00AD2A25" w:rsidRPr="00700CDD" w:rsidRDefault="00A91A24" w:rsidP="00A152E4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1.507</w:t>
            </w:r>
          </w:p>
        </w:tc>
        <w:tc>
          <w:tcPr>
            <w:tcW w:w="1134" w:type="dxa"/>
            <w:vAlign w:val="center"/>
          </w:tcPr>
          <w:p w14:paraId="5B9145FA" w14:textId="2842C2F8" w:rsidR="00AD2A25" w:rsidRPr="00700CDD" w:rsidRDefault="00A91A24" w:rsidP="00A152E4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1.507</w:t>
            </w:r>
          </w:p>
        </w:tc>
        <w:tc>
          <w:tcPr>
            <w:tcW w:w="993" w:type="dxa"/>
            <w:vAlign w:val="center"/>
          </w:tcPr>
          <w:p w14:paraId="6F367DD4" w14:textId="53CB4550" w:rsidR="00AD2A25" w:rsidRPr="00700CDD" w:rsidRDefault="00911683" w:rsidP="00A152E4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0</w:t>
            </w:r>
          </w:p>
        </w:tc>
      </w:tr>
      <w:tr w:rsidR="00700CDD" w:rsidRPr="00700CDD" w14:paraId="78427ABD" w14:textId="77777777" w:rsidTr="00CB0F00">
        <w:trPr>
          <w:jc w:val="center"/>
        </w:trPr>
        <w:tc>
          <w:tcPr>
            <w:tcW w:w="829" w:type="dxa"/>
            <w:vAlign w:val="center"/>
          </w:tcPr>
          <w:p w14:paraId="6F23869A" w14:textId="77777777" w:rsidR="00AD2A25" w:rsidRPr="00700CDD" w:rsidRDefault="00AD2A25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72</w:t>
            </w:r>
          </w:p>
        </w:tc>
        <w:tc>
          <w:tcPr>
            <w:tcW w:w="4269" w:type="dxa"/>
            <w:vAlign w:val="center"/>
          </w:tcPr>
          <w:p w14:paraId="40EFB7E2" w14:textId="77777777" w:rsidR="00AD2A25" w:rsidRPr="00700CDD" w:rsidRDefault="00AD2A25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Prihodi od prodaje proizvedene dugotrajne imovine</w:t>
            </w:r>
          </w:p>
        </w:tc>
        <w:tc>
          <w:tcPr>
            <w:tcW w:w="1134" w:type="dxa"/>
            <w:vAlign w:val="center"/>
          </w:tcPr>
          <w:p w14:paraId="476E2F58" w14:textId="7153A7E4" w:rsidR="00AD2A25" w:rsidRPr="00700CDD" w:rsidRDefault="00141B3A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691B1F6E" w14:textId="5F2DC0B9" w:rsidR="00AD2A25" w:rsidRPr="00700CDD" w:rsidRDefault="00A91A24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1.507</w:t>
            </w:r>
          </w:p>
        </w:tc>
        <w:tc>
          <w:tcPr>
            <w:tcW w:w="1134" w:type="dxa"/>
            <w:vAlign w:val="center"/>
          </w:tcPr>
          <w:p w14:paraId="50919E58" w14:textId="3388E0EE" w:rsidR="00AD2A25" w:rsidRPr="00700CDD" w:rsidRDefault="00A91A24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1.507</w:t>
            </w:r>
          </w:p>
        </w:tc>
        <w:tc>
          <w:tcPr>
            <w:tcW w:w="993" w:type="dxa"/>
            <w:vAlign w:val="center"/>
          </w:tcPr>
          <w:p w14:paraId="7D747892" w14:textId="684E42C4" w:rsidR="00AD2A25" w:rsidRPr="00700CDD" w:rsidRDefault="00BF0199" w:rsidP="00A152E4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0</w:t>
            </w:r>
          </w:p>
        </w:tc>
      </w:tr>
      <w:tr w:rsidR="003616EB" w:rsidRPr="00700CDD" w14:paraId="6882C703" w14:textId="77777777" w:rsidTr="00CB0F00">
        <w:trPr>
          <w:jc w:val="center"/>
        </w:trPr>
        <w:tc>
          <w:tcPr>
            <w:tcW w:w="829" w:type="dxa"/>
            <w:vAlign w:val="center"/>
          </w:tcPr>
          <w:p w14:paraId="296B8EAF" w14:textId="77777777" w:rsidR="00AD2A25" w:rsidRPr="00700CDD" w:rsidRDefault="00AD2A25" w:rsidP="00A152E4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4269" w:type="dxa"/>
            <w:vAlign w:val="center"/>
          </w:tcPr>
          <w:p w14:paraId="1E4DAA51" w14:textId="77777777" w:rsidR="00AD2A25" w:rsidRPr="00700CDD" w:rsidRDefault="00AD2A25" w:rsidP="00A152E4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UKUPNO PRIHODI</w:t>
            </w:r>
          </w:p>
        </w:tc>
        <w:tc>
          <w:tcPr>
            <w:tcW w:w="1134" w:type="dxa"/>
            <w:vAlign w:val="center"/>
          </w:tcPr>
          <w:p w14:paraId="248B97A1" w14:textId="3892B16A" w:rsidR="00AD2A25" w:rsidRPr="00700CDD" w:rsidRDefault="00E24450" w:rsidP="00A152E4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2.279.990</w:t>
            </w:r>
          </w:p>
        </w:tc>
        <w:tc>
          <w:tcPr>
            <w:tcW w:w="1134" w:type="dxa"/>
            <w:vAlign w:val="center"/>
          </w:tcPr>
          <w:p w14:paraId="1A44C9CA" w14:textId="427520F8" w:rsidR="00AD2A25" w:rsidRPr="00700CDD" w:rsidRDefault="00FC2CCC" w:rsidP="00A152E4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201.985</w:t>
            </w:r>
          </w:p>
        </w:tc>
        <w:tc>
          <w:tcPr>
            <w:tcW w:w="1134" w:type="dxa"/>
            <w:vAlign w:val="center"/>
          </w:tcPr>
          <w:p w14:paraId="5BFE1D1A" w14:textId="3AE008C6" w:rsidR="00AD2A25" w:rsidRPr="00700CDD" w:rsidRDefault="00E24450" w:rsidP="00A152E4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2.481.975</w:t>
            </w:r>
          </w:p>
        </w:tc>
        <w:tc>
          <w:tcPr>
            <w:tcW w:w="993" w:type="dxa"/>
            <w:vAlign w:val="center"/>
          </w:tcPr>
          <w:p w14:paraId="3EAF5CAA" w14:textId="57036BFC" w:rsidR="00AD2A25" w:rsidRPr="00700CDD" w:rsidRDefault="003F30BE" w:rsidP="00A152E4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109,00</w:t>
            </w:r>
          </w:p>
        </w:tc>
      </w:tr>
    </w:tbl>
    <w:p w14:paraId="4F35764E" w14:textId="77777777" w:rsidR="00CC3428" w:rsidRPr="00700CDD" w:rsidRDefault="00CC3428" w:rsidP="00937485">
      <w:pPr>
        <w:spacing w:after="200"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080A12" w14:textId="16261D0F" w:rsidR="00670FD3" w:rsidRPr="00700CDD" w:rsidRDefault="00670FD3" w:rsidP="00937485">
      <w:pPr>
        <w:spacing w:after="200"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00CDD">
        <w:rPr>
          <w:rFonts w:ascii="Times New Roman" w:hAnsi="Times New Roman"/>
          <w:b/>
          <w:bCs/>
          <w:sz w:val="24"/>
          <w:szCs w:val="24"/>
        </w:rPr>
        <w:t>RASHODI I IZDACI</w:t>
      </w:r>
    </w:p>
    <w:p w14:paraId="64E85525" w14:textId="1275C06B" w:rsidR="00BF4D4F" w:rsidRPr="00700CDD" w:rsidRDefault="00BF4D4F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0CDD">
        <w:rPr>
          <w:rFonts w:ascii="Times New Roman" w:hAnsi="Times New Roman"/>
          <w:sz w:val="24"/>
          <w:szCs w:val="24"/>
        </w:rPr>
        <w:t xml:space="preserve">Ukupno planirani rashodi i izdaci </w:t>
      </w:r>
      <w:r w:rsidR="00C42142" w:rsidRPr="00700CDD">
        <w:rPr>
          <w:rFonts w:ascii="Times New Roman" w:hAnsi="Times New Roman"/>
          <w:sz w:val="24"/>
          <w:szCs w:val="24"/>
        </w:rPr>
        <w:t>sukla</w:t>
      </w:r>
      <w:r w:rsidR="008C226C" w:rsidRPr="00700CDD">
        <w:rPr>
          <w:rFonts w:ascii="Times New Roman" w:hAnsi="Times New Roman"/>
          <w:sz w:val="24"/>
          <w:szCs w:val="24"/>
        </w:rPr>
        <w:t xml:space="preserve">dno novom planu </w:t>
      </w:r>
      <w:r w:rsidRPr="00700CDD">
        <w:rPr>
          <w:rFonts w:ascii="Times New Roman" w:hAnsi="Times New Roman"/>
          <w:sz w:val="24"/>
          <w:szCs w:val="24"/>
        </w:rPr>
        <w:t>Fakulteta turizma i ruralnog razvoja u Požegi za 202</w:t>
      </w:r>
      <w:r w:rsidR="00291779" w:rsidRPr="00700CDD">
        <w:rPr>
          <w:rFonts w:ascii="Times New Roman" w:hAnsi="Times New Roman"/>
          <w:sz w:val="24"/>
          <w:szCs w:val="24"/>
        </w:rPr>
        <w:t>5</w:t>
      </w:r>
      <w:r w:rsidRPr="00700CDD">
        <w:rPr>
          <w:rFonts w:ascii="Times New Roman" w:hAnsi="Times New Roman"/>
          <w:sz w:val="24"/>
          <w:szCs w:val="24"/>
        </w:rPr>
        <w:t>. godinu iznose</w:t>
      </w:r>
      <w:r w:rsidR="00D03D80" w:rsidRPr="00700CDD">
        <w:rPr>
          <w:rFonts w:ascii="Times New Roman" w:hAnsi="Times New Roman"/>
          <w:sz w:val="24"/>
          <w:szCs w:val="24"/>
        </w:rPr>
        <w:t xml:space="preserve"> 3.</w:t>
      </w:r>
      <w:r w:rsidR="00C94BBA" w:rsidRPr="00700CDD">
        <w:rPr>
          <w:rFonts w:ascii="Times New Roman" w:hAnsi="Times New Roman"/>
          <w:sz w:val="24"/>
          <w:szCs w:val="24"/>
        </w:rPr>
        <w:t>0</w:t>
      </w:r>
      <w:r w:rsidR="008C226C" w:rsidRPr="00700CDD">
        <w:rPr>
          <w:rFonts w:ascii="Times New Roman" w:hAnsi="Times New Roman"/>
          <w:sz w:val="24"/>
          <w:szCs w:val="24"/>
        </w:rPr>
        <w:t>75.121</w:t>
      </w:r>
      <w:r w:rsidR="00D03D80" w:rsidRPr="00700CDD">
        <w:rPr>
          <w:rFonts w:ascii="Times New Roman" w:hAnsi="Times New Roman"/>
          <w:sz w:val="24"/>
          <w:szCs w:val="24"/>
        </w:rPr>
        <w:t xml:space="preserve"> eura</w:t>
      </w:r>
      <w:r w:rsidR="00844EC5" w:rsidRPr="00700CDD">
        <w:rPr>
          <w:rFonts w:ascii="Times New Roman" w:hAnsi="Times New Roman"/>
          <w:sz w:val="24"/>
          <w:szCs w:val="24"/>
        </w:rPr>
        <w:t xml:space="preserve"> što je za 1 %</w:t>
      </w:r>
      <w:r w:rsidR="00810AAF" w:rsidRPr="00700CDD">
        <w:rPr>
          <w:rFonts w:ascii="Times New Roman" w:hAnsi="Times New Roman"/>
          <w:sz w:val="24"/>
          <w:szCs w:val="24"/>
        </w:rPr>
        <w:t xml:space="preserve"> više u odnosu na prethodni plan.</w:t>
      </w:r>
    </w:p>
    <w:p w14:paraId="33326377" w14:textId="77777777" w:rsidR="00BA50D7" w:rsidRPr="00700CDD" w:rsidRDefault="00BF4D4F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0CDD">
        <w:rPr>
          <w:rFonts w:ascii="Times New Roman" w:hAnsi="Times New Roman"/>
          <w:sz w:val="24"/>
          <w:szCs w:val="24"/>
        </w:rPr>
        <w:t xml:space="preserve">Najznačajniji rashodi poslovanja odnose se na </w:t>
      </w:r>
      <w:r w:rsidR="00B2118B" w:rsidRPr="00700CDD">
        <w:rPr>
          <w:rFonts w:ascii="Times New Roman" w:hAnsi="Times New Roman"/>
          <w:sz w:val="24"/>
          <w:szCs w:val="24"/>
        </w:rPr>
        <w:t>rashode za zaposlene</w:t>
      </w:r>
      <w:r w:rsidR="003B0F3F" w:rsidRPr="00700CDD">
        <w:rPr>
          <w:rFonts w:ascii="Times New Roman" w:hAnsi="Times New Roman"/>
          <w:sz w:val="24"/>
          <w:szCs w:val="24"/>
        </w:rPr>
        <w:t xml:space="preserve"> za plaće, materijalna prava zaposlenika </w:t>
      </w:r>
      <w:r w:rsidR="000C60BF" w:rsidRPr="00700CDD">
        <w:rPr>
          <w:rFonts w:ascii="Times New Roman" w:hAnsi="Times New Roman"/>
          <w:sz w:val="24"/>
          <w:szCs w:val="24"/>
        </w:rPr>
        <w:t>i</w:t>
      </w:r>
      <w:r w:rsidR="003B0F3F" w:rsidRPr="00700CDD">
        <w:rPr>
          <w:rFonts w:ascii="Times New Roman" w:hAnsi="Times New Roman"/>
          <w:sz w:val="24"/>
          <w:szCs w:val="24"/>
        </w:rPr>
        <w:t xml:space="preserve"> ostale rashode za zaposlene</w:t>
      </w:r>
      <w:r w:rsidR="000F1B8A" w:rsidRPr="00700CDD">
        <w:rPr>
          <w:rFonts w:ascii="Times New Roman" w:hAnsi="Times New Roman"/>
          <w:sz w:val="24"/>
          <w:szCs w:val="24"/>
        </w:rPr>
        <w:t xml:space="preserve">. </w:t>
      </w:r>
    </w:p>
    <w:p w14:paraId="40174C6D" w14:textId="2F1EA70B" w:rsidR="00BF4D4F" w:rsidRPr="00700CDD" w:rsidRDefault="000F1B8A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0CDD">
        <w:rPr>
          <w:rFonts w:ascii="Times New Roman" w:hAnsi="Times New Roman"/>
          <w:sz w:val="24"/>
          <w:szCs w:val="24"/>
        </w:rPr>
        <w:t>Materijalni rashodi planirani su za pokrivanje naknada troškova zaposlenima (službena putovanja, naknade za prijevoz na posao i s posla, stručno usavršavanje zaposlenika)</w:t>
      </w:r>
      <w:r w:rsidR="00212B14" w:rsidRPr="00700CDD">
        <w:rPr>
          <w:rFonts w:ascii="Times New Roman" w:hAnsi="Times New Roman"/>
          <w:sz w:val="24"/>
          <w:szCs w:val="24"/>
        </w:rPr>
        <w:t>, rashode za materijal i energiju (uredski materijal, materijal i sirovine, energij</w:t>
      </w:r>
      <w:r w:rsidR="00AA0C57" w:rsidRPr="00700CDD">
        <w:rPr>
          <w:rFonts w:ascii="Times New Roman" w:hAnsi="Times New Roman"/>
          <w:sz w:val="24"/>
          <w:szCs w:val="24"/>
        </w:rPr>
        <w:t>u</w:t>
      </w:r>
      <w:r w:rsidR="00212B14" w:rsidRPr="00700CDD">
        <w:rPr>
          <w:rFonts w:ascii="Times New Roman" w:hAnsi="Times New Roman"/>
          <w:sz w:val="24"/>
          <w:szCs w:val="24"/>
        </w:rPr>
        <w:t>, materijal i dijelove za tekuće i investicijsko održavanje</w:t>
      </w:r>
      <w:r w:rsidR="0014299D" w:rsidRPr="00700CDD">
        <w:rPr>
          <w:rFonts w:ascii="Times New Roman" w:hAnsi="Times New Roman"/>
          <w:sz w:val="24"/>
          <w:szCs w:val="24"/>
        </w:rPr>
        <w:t xml:space="preserve">, </w:t>
      </w:r>
      <w:r w:rsidR="00212B14" w:rsidRPr="00700CDD">
        <w:rPr>
          <w:rFonts w:ascii="Times New Roman" w:hAnsi="Times New Roman"/>
          <w:sz w:val="24"/>
          <w:szCs w:val="24"/>
        </w:rPr>
        <w:t>sitni inventar, služben</w:t>
      </w:r>
      <w:r w:rsidR="00AA0C57" w:rsidRPr="00700CDD">
        <w:rPr>
          <w:rFonts w:ascii="Times New Roman" w:hAnsi="Times New Roman"/>
          <w:sz w:val="24"/>
          <w:szCs w:val="24"/>
        </w:rPr>
        <w:t>u</w:t>
      </w:r>
      <w:r w:rsidR="00212B14" w:rsidRPr="00700CDD">
        <w:rPr>
          <w:rFonts w:ascii="Times New Roman" w:hAnsi="Times New Roman"/>
          <w:sz w:val="24"/>
          <w:szCs w:val="24"/>
        </w:rPr>
        <w:t xml:space="preserve"> radn</w:t>
      </w:r>
      <w:r w:rsidR="00AA0C57" w:rsidRPr="00700CDD">
        <w:rPr>
          <w:rFonts w:ascii="Times New Roman" w:hAnsi="Times New Roman"/>
          <w:sz w:val="24"/>
          <w:szCs w:val="24"/>
        </w:rPr>
        <w:t>u</w:t>
      </w:r>
      <w:r w:rsidR="00212B14" w:rsidRPr="00700CDD">
        <w:rPr>
          <w:rFonts w:ascii="Times New Roman" w:hAnsi="Times New Roman"/>
          <w:sz w:val="24"/>
          <w:szCs w:val="24"/>
        </w:rPr>
        <w:t xml:space="preserve"> i zaštitn</w:t>
      </w:r>
      <w:r w:rsidR="00AA0C57" w:rsidRPr="00700CDD">
        <w:rPr>
          <w:rFonts w:ascii="Times New Roman" w:hAnsi="Times New Roman"/>
          <w:sz w:val="24"/>
          <w:szCs w:val="24"/>
        </w:rPr>
        <w:t>u</w:t>
      </w:r>
      <w:r w:rsidR="00212B14" w:rsidRPr="00700CDD">
        <w:rPr>
          <w:rFonts w:ascii="Times New Roman" w:hAnsi="Times New Roman"/>
          <w:sz w:val="24"/>
          <w:szCs w:val="24"/>
        </w:rPr>
        <w:t xml:space="preserve"> odjeć</w:t>
      </w:r>
      <w:r w:rsidR="00AA0C57" w:rsidRPr="00700CDD">
        <w:rPr>
          <w:rFonts w:ascii="Times New Roman" w:hAnsi="Times New Roman"/>
          <w:sz w:val="24"/>
          <w:szCs w:val="24"/>
        </w:rPr>
        <w:t>u</w:t>
      </w:r>
      <w:r w:rsidR="00212B14" w:rsidRPr="00700CDD">
        <w:rPr>
          <w:rFonts w:ascii="Times New Roman" w:hAnsi="Times New Roman"/>
          <w:sz w:val="24"/>
          <w:szCs w:val="24"/>
        </w:rPr>
        <w:t xml:space="preserve"> i obuć</w:t>
      </w:r>
      <w:r w:rsidR="00AA0C57" w:rsidRPr="00700CDD">
        <w:rPr>
          <w:rFonts w:ascii="Times New Roman" w:hAnsi="Times New Roman"/>
          <w:sz w:val="24"/>
          <w:szCs w:val="24"/>
        </w:rPr>
        <w:t>u</w:t>
      </w:r>
      <w:r w:rsidR="00CF6849" w:rsidRPr="00700CDD">
        <w:rPr>
          <w:rFonts w:ascii="Times New Roman" w:hAnsi="Times New Roman"/>
          <w:sz w:val="24"/>
          <w:szCs w:val="24"/>
        </w:rPr>
        <w:t>), rashode za usluge (usluge telefona, pošte i prijevoza, usluge tekućeg i investicijskog održavanja, usluge promidžbe i informiranja, komunalne usluge, zakupnine i najamnine, zdravstvene i veterinarske usluge, intelektualne i osobne usluge, računalne usluge i ostale usluge), naknad</w:t>
      </w:r>
      <w:r w:rsidR="00AA0C57" w:rsidRPr="00700CDD">
        <w:rPr>
          <w:rFonts w:ascii="Times New Roman" w:hAnsi="Times New Roman"/>
          <w:sz w:val="24"/>
          <w:szCs w:val="24"/>
        </w:rPr>
        <w:t>a</w:t>
      </w:r>
      <w:r w:rsidR="00CF6849" w:rsidRPr="00700CDD">
        <w:rPr>
          <w:rFonts w:ascii="Times New Roman" w:hAnsi="Times New Roman"/>
          <w:sz w:val="24"/>
          <w:szCs w:val="24"/>
        </w:rPr>
        <w:t xml:space="preserve"> tro</w:t>
      </w:r>
      <w:r w:rsidR="0014299D" w:rsidRPr="00700CDD">
        <w:rPr>
          <w:rFonts w:ascii="Times New Roman" w:hAnsi="Times New Roman"/>
          <w:sz w:val="24"/>
          <w:szCs w:val="24"/>
        </w:rPr>
        <w:t>š</w:t>
      </w:r>
      <w:r w:rsidR="00CF6849" w:rsidRPr="00700CDD">
        <w:rPr>
          <w:rFonts w:ascii="Times New Roman" w:hAnsi="Times New Roman"/>
          <w:sz w:val="24"/>
          <w:szCs w:val="24"/>
        </w:rPr>
        <w:t>kova osobama izvan radnog odnosa, ostal</w:t>
      </w:r>
      <w:r w:rsidR="00AA0C57" w:rsidRPr="00700CDD">
        <w:rPr>
          <w:rFonts w:ascii="Times New Roman" w:hAnsi="Times New Roman"/>
          <w:sz w:val="24"/>
          <w:szCs w:val="24"/>
        </w:rPr>
        <w:t>e</w:t>
      </w:r>
      <w:r w:rsidR="00CF6849" w:rsidRPr="00700CDD">
        <w:rPr>
          <w:rFonts w:ascii="Times New Roman" w:hAnsi="Times New Roman"/>
          <w:sz w:val="24"/>
          <w:szCs w:val="24"/>
        </w:rPr>
        <w:t xml:space="preserve"> nespomenut</w:t>
      </w:r>
      <w:r w:rsidR="00AA0C57" w:rsidRPr="00700CDD">
        <w:rPr>
          <w:rFonts w:ascii="Times New Roman" w:hAnsi="Times New Roman"/>
          <w:sz w:val="24"/>
          <w:szCs w:val="24"/>
        </w:rPr>
        <w:t>e</w:t>
      </w:r>
      <w:r w:rsidR="00CF6849" w:rsidRPr="00700CDD">
        <w:rPr>
          <w:rFonts w:ascii="Times New Roman" w:hAnsi="Times New Roman"/>
          <w:sz w:val="24"/>
          <w:szCs w:val="24"/>
        </w:rPr>
        <w:t xml:space="preserve"> rashod</w:t>
      </w:r>
      <w:r w:rsidR="00AA0C57" w:rsidRPr="00700CDD">
        <w:rPr>
          <w:rFonts w:ascii="Times New Roman" w:hAnsi="Times New Roman"/>
          <w:sz w:val="24"/>
          <w:szCs w:val="24"/>
        </w:rPr>
        <w:t>e</w:t>
      </w:r>
      <w:r w:rsidR="00CF6849" w:rsidRPr="00700CDD">
        <w:rPr>
          <w:rFonts w:ascii="Times New Roman" w:hAnsi="Times New Roman"/>
          <w:sz w:val="24"/>
          <w:szCs w:val="24"/>
        </w:rPr>
        <w:t xml:space="preserve"> poslovanja (naknade za rad predstavničkih i izvršnih tijela, povjerenstava i slično, premije osiguranja, reprezentacija, članarine i norme, pristojbe i naknade i ostali</w:t>
      </w:r>
      <w:r w:rsidR="00AA0C57" w:rsidRPr="00700CDD">
        <w:rPr>
          <w:rFonts w:ascii="Times New Roman" w:hAnsi="Times New Roman"/>
          <w:sz w:val="24"/>
          <w:szCs w:val="24"/>
        </w:rPr>
        <w:t>h</w:t>
      </w:r>
      <w:r w:rsidR="00CF6849" w:rsidRPr="00700CDD">
        <w:rPr>
          <w:rFonts w:ascii="Times New Roman" w:hAnsi="Times New Roman"/>
          <w:sz w:val="24"/>
          <w:szCs w:val="24"/>
        </w:rPr>
        <w:t xml:space="preserve"> ne</w:t>
      </w:r>
      <w:r w:rsidR="0014299D" w:rsidRPr="00700CDD">
        <w:rPr>
          <w:rFonts w:ascii="Times New Roman" w:hAnsi="Times New Roman"/>
          <w:sz w:val="24"/>
          <w:szCs w:val="24"/>
        </w:rPr>
        <w:t>s</w:t>
      </w:r>
      <w:r w:rsidR="00CF6849" w:rsidRPr="00700CDD">
        <w:rPr>
          <w:rFonts w:ascii="Times New Roman" w:hAnsi="Times New Roman"/>
          <w:sz w:val="24"/>
          <w:szCs w:val="24"/>
        </w:rPr>
        <w:t>pomenuti</w:t>
      </w:r>
      <w:r w:rsidR="00AA0C57" w:rsidRPr="00700CDD">
        <w:rPr>
          <w:rFonts w:ascii="Times New Roman" w:hAnsi="Times New Roman"/>
          <w:sz w:val="24"/>
          <w:szCs w:val="24"/>
        </w:rPr>
        <w:t>h</w:t>
      </w:r>
      <w:r w:rsidR="00CF6849" w:rsidRPr="00700CDD">
        <w:rPr>
          <w:rFonts w:ascii="Times New Roman" w:hAnsi="Times New Roman"/>
          <w:sz w:val="24"/>
          <w:szCs w:val="24"/>
        </w:rPr>
        <w:t xml:space="preserve"> rashod</w:t>
      </w:r>
      <w:r w:rsidR="00AA0C57" w:rsidRPr="00700CDD">
        <w:rPr>
          <w:rFonts w:ascii="Times New Roman" w:hAnsi="Times New Roman"/>
          <w:sz w:val="24"/>
          <w:szCs w:val="24"/>
        </w:rPr>
        <w:t>a</w:t>
      </w:r>
      <w:r w:rsidR="00CF6849" w:rsidRPr="00700CDD">
        <w:rPr>
          <w:rFonts w:ascii="Times New Roman" w:hAnsi="Times New Roman"/>
          <w:sz w:val="24"/>
          <w:szCs w:val="24"/>
        </w:rPr>
        <w:t xml:space="preserve"> poslovanja).</w:t>
      </w:r>
    </w:p>
    <w:p w14:paraId="45FB3088" w14:textId="31711E2B" w:rsidR="00BA50D7" w:rsidRPr="00700CDD" w:rsidRDefault="00BA50D7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0CDD">
        <w:rPr>
          <w:rFonts w:ascii="Times New Roman" w:hAnsi="Times New Roman"/>
          <w:sz w:val="24"/>
          <w:szCs w:val="24"/>
        </w:rPr>
        <w:t>Financijski rashodi planirani su za bankarske usluge i usluge platnog prometa te ostale nespomenute financijske rashode.</w:t>
      </w:r>
    </w:p>
    <w:p w14:paraId="5B9F1CEE" w14:textId="4AE5C3C5" w:rsidR="00E47992" w:rsidRPr="00700CDD" w:rsidRDefault="00E47992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0CDD">
        <w:rPr>
          <w:rFonts w:ascii="Times New Roman" w:hAnsi="Times New Roman"/>
          <w:sz w:val="24"/>
          <w:szCs w:val="24"/>
        </w:rPr>
        <w:t>Naknade građanima i kućanstvima planirani su za pokrivanje rashoda za doktorske studije te stipendiranje studenata.</w:t>
      </w:r>
    </w:p>
    <w:p w14:paraId="6B9449BC" w14:textId="5ECB0B11" w:rsidR="00E47992" w:rsidRPr="00700CDD" w:rsidRDefault="00E47992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0CDD">
        <w:rPr>
          <w:rFonts w:ascii="Times New Roman" w:hAnsi="Times New Roman"/>
          <w:sz w:val="24"/>
          <w:szCs w:val="24"/>
        </w:rPr>
        <w:lastRenderedPageBreak/>
        <w:t>Ostali rashodi odnose se na</w:t>
      </w:r>
      <w:r w:rsidR="00B70F95" w:rsidRPr="00700CDD">
        <w:rPr>
          <w:rFonts w:ascii="Times New Roman" w:hAnsi="Times New Roman"/>
          <w:sz w:val="24"/>
          <w:szCs w:val="24"/>
        </w:rPr>
        <w:t xml:space="preserve"> rashode za</w:t>
      </w:r>
      <w:r w:rsidRPr="00700CDD">
        <w:rPr>
          <w:rFonts w:ascii="Times New Roman" w:hAnsi="Times New Roman"/>
          <w:sz w:val="24"/>
          <w:szCs w:val="24"/>
        </w:rPr>
        <w:t xml:space="preserve"> donacije</w:t>
      </w:r>
      <w:r w:rsidR="00D860E8" w:rsidRPr="00700CDD">
        <w:rPr>
          <w:rFonts w:ascii="Times New Roman" w:hAnsi="Times New Roman"/>
          <w:sz w:val="24"/>
          <w:szCs w:val="24"/>
        </w:rPr>
        <w:t xml:space="preserve"> i naknade šteta</w:t>
      </w:r>
      <w:r w:rsidRPr="00700CDD">
        <w:rPr>
          <w:rFonts w:ascii="Times New Roman" w:hAnsi="Times New Roman"/>
          <w:sz w:val="24"/>
          <w:szCs w:val="24"/>
        </w:rPr>
        <w:t>.</w:t>
      </w:r>
    </w:p>
    <w:p w14:paraId="599C9857" w14:textId="7B617BDA" w:rsidR="006B4D89" w:rsidRPr="00700CDD" w:rsidRDefault="00BF4D4F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0CDD">
        <w:rPr>
          <w:rFonts w:ascii="Times New Roman" w:hAnsi="Times New Roman"/>
          <w:sz w:val="24"/>
          <w:szCs w:val="24"/>
        </w:rPr>
        <w:t xml:space="preserve">Najznačajniji rashodi za nabavu nefinancijske imovine </w:t>
      </w:r>
      <w:r w:rsidR="00B2118B" w:rsidRPr="00700CDD">
        <w:rPr>
          <w:rFonts w:ascii="Times New Roman" w:hAnsi="Times New Roman"/>
          <w:sz w:val="24"/>
          <w:szCs w:val="24"/>
        </w:rPr>
        <w:t>u 202</w:t>
      </w:r>
      <w:r w:rsidR="00291779" w:rsidRPr="00700CDD">
        <w:rPr>
          <w:rFonts w:ascii="Times New Roman" w:hAnsi="Times New Roman"/>
          <w:sz w:val="24"/>
          <w:szCs w:val="24"/>
        </w:rPr>
        <w:t>5</w:t>
      </w:r>
      <w:r w:rsidR="00B2118B" w:rsidRPr="00700CDD">
        <w:rPr>
          <w:rFonts w:ascii="Times New Roman" w:hAnsi="Times New Roman"/>
          <w:sz w:val="24"/>
          <w:szCs w:val="24"/>
        </w:rPr>
        <w:t xml:space="preserve">. godini </w:t>
      </w:r>
      <w:r w:rsidRPr="00700CDD">
        <w:rPr>
          <w:rFonts w:ascii="Times New Roman" w:hAnsi="Times New Roman"/>
          <w:sz w:val="24"/>
          <w:szCs w:val="24"/>
        </w:rPr>
        <w:t xml:space="preserve">odnose se na </w:t>
      </w:r>
      <w:r w:rsidR="00B2118B" w:rsidRPr="00700CDD">
        <w:rPr>
          <w:rFonts w:ascii="Times New Roman" w:hAnsi="Times New Roman"/>
          <w:sz w:val="24"/>
          <w:szCs w:val="24"/>
        </w:rPr>
        <w:t xml:space="preserve">rashode </w:t>
      </w:r>
      <w:r w:rsidR="00485C4E" w:rsidRPr="00700CDD">
        <w:rPr>
          <w:rFonts w:ascii="Times New Roman" w:hAnsi="Times New Roman"/>
          <w:sz w:val="24"/>
          <w:szCs w:val="24"/>
        </w:rPr>
        <w:t xml:space="preserve">za </w:t>
      </w:r>
      <w:r w:rsidR="00344BBF" w:rsidRPr="00700CDD">
        <w:rPr>
          <w:rFonts w:ascii="Times New Roman" w:hAnsi="Times New Roman"/>
          <w:sz w:val="24"/>
          <w:szCs w:val="24"/>
        </w:rPr>
        <w:t>ulaganja u tuđu imovinu radi prava korištenja na zgradi Fakulteta turizma i ruralnog razvoja u Požegi</w:t>
      </w:r>
      <w:r w:rsidR="003C6A5A" w:rsidRPr="00700CDD">
        <w:rPr>
          <w:rFonts w:ascii="Times New Roman" w:hAnsi="Times New Roman"/>
          <w:sz w:val="24"/>
          <w:szCs w:val="24"/>
        </w:rPr>
        <w:t xml:space="preserve"> za uređenje ureda, energetsku o</w:t>
      </w:r>
      <w:r w:rsidR="00234527" w:rsidRPr="00700CDD">
        <w:rPr>
          <w:rFonts w:ascii="Times New Roman" w:hAnsi="Times New Roman"/>
          <w:sz w:val="24"/>
          <w:szCs w:val="24"/>
        </w:rPr>
        <w:t>b</w:t>
      </w:r>
      <w:r w:rsidR="003C6A5A" w:rsidRPr="00700CDD">
        <w:rPr>
          <w:rFonts w:ascii="Times New Roman" w:hAnsi="Times New Roman"/>
          <w:sz w:val="24"/>
          <w:szCs w:val="24"/>
        </w:rPr>
        <w:t xml:space="preserve">novu zgrade te </w:t>
      </w:r>
      <w:r w:rsidR="005F1323" w:rsidRPr="00700CDD">
        <w:rPr>
          <w:rFonts w:ascii="Times New Roman" w:hAnsi="Times New Roman"/>
          <w:sz w:val="24"/>
          <w:szCs w:val="24"/>
        </w:rPr>
        <w:t xml:space="preserve">za </w:t>
      </w:r>
      <w:r w:rsidR="00234527" w:rsidRPr="00700CDD">
        <w:rPr>
          <w:rFonts w:ascii="Times New Roman" w:hAnsi="Times New Roman"/>
          <w:sz w:val="24"/>
          <w:szCs w:val="24"/>
        </w:rPr>
        <w:t>montažnu sportsku dvoranu</w:t>
      </w:r>
      <w:r w:rsidR="00344BBF" w:rsidRPr="00700CDD">
        <w:rPr>
          <w:rFonts w:ascii="Times New Roman" w:hAnsi="Times New Roman"/>
          <w:sz w:val="24"/>
          <w:szCs w:val="24"/>
        </w:rPr>
        <w:t>.</w:t>
      </w:r>
      <w:r w:rsidR="00381FDE" w:rsidRPr="00700CDD">
        <w:rPr>
          <w:rFonts w:ascii="Times New Roman" w:hAnsi="Times New Roman"/>
          <w:sz w:val="24"/>
          <w:szCs w:val="24"/>
        </w:rPr>
        <w:t xml:space="preserve"> </w:t>
      </w:r>
      <w:r w:rsidR="00EB2569" w:rsidRPr="00700CDD">
        <w:rPr>
          <w:rFonts w:ascii="Times New Roman" w:hAnsi="Times New Roman"/>
          <w:sz w:val="24"/>
          <w:szCs w:val="24"/>
        </w:rPr>
        <w:t xml:space="preserve">Rashodi za nabavu proizvedene dugotrajne imovine planirani su za </w:t>
      </w:r>
      <w:r w:rsidR="006A1556" w:rsidRPr="00700CDD">
        <w:rPr>
          <w:rFonts w:ascii="Times New Roman" w:hAnsi="Times New Roman"/>
          <w:sz w:val="24"/>
          <w:szCs w:val="24"/>
        </w:rPr>
        <w:t xml:space="preserve">nabavu uredske opreme i namještaja, komunikacijske opreme, opreme za održavanje i zaštitu, sportske i glazbene opreme, knjiga </w:t>
      </w:r>
      <w:r w:rsidR="005B5649" w:rsidRPr="00700CDD">
        <w:rPr>
          <w:rFonts w:ascii="Times New Roman" w:hAnsi="Times New Roman"/>
          <w:sz w:val="24"/>
          <w:szCs w:val="24"/>
        </w:rPr>
        <w:t>te</w:t>
      </w:r>
      <w:r w:rsidR="00E42DD0" w:rsidRPr="00700CDD">
        <w:rPr>
          <w:rFonts w:ascii="Times New Roman" w:hAnsi="Times New Roman"/>
          <w:sz w:val="24"/>
          <w:szCs w:val="24"/>
        </w:rPr>
        <w:t xml:space="preserve"> </w:t>
      </w:r>
      <w:r w:rsidR="00185E89" w:rsidRPr="00700CDD">
        <w:rPr>
          <w:rFonts w:ascii="Times New Roman" w:hAnsi="Times New Roman"/>
          <w:sz w:val="24"/>
          <w:szCs w:val="24"/>
        </w:rPr>
        <w:t>uređaja, strojeva i opreme za ostale namjene</w:t>
      </w:r>
      <w:r w:rsidR="006A1556" w:rsidRPr="00700CDD">
        <w:rPr>
          <w:rFonts w:ascii="Times New Roman" w:hAnsi="Times New Roman"/>
          <w:sz w:val="24"/>
          <w:szCs w:val="24"/>
        </w:rPr>
        <w:t>.</w:t>
      </w:r>
      <w:r w:rsidR="006B4D89" w:rsidRPr="00700CDD">
        <w:rPr>
          <w:rFonts w:ascii="Times New Roman" w:hAnsi="Times New Roman"/>
          <w:sz w:val="24"/>
          <w:szCs w:val="24"/>
        </w:rPr>
        <w:t xml:space="preserve"> </w:t>
      </w:r>
      <w:r w:rsidR="001E61AE" w:rsidRPr="00700CDD">
        <w:rPr>
          <w:rFonts w:ascii="Times New Roman" w:hAnsi="Times New Roman"/>
          <w:sz w:val="24"/>
          <w:szCs w:val="24"/>
        </w:rPr>
        <w:t>Iznosi p</w:t>
      </w:r>
      <w:r w:rsidR="006B4D89" w:rsidRPr="00700CDD">
        <w:rPr>
          <w:rFonts w:ascii="Times New Roman" w:hAnsi="Times New Roman"/>
          <w:sz w:val="24"/>
          <w:szCs w:val="24"/>
        </w:rPr>
        <w:t>laniran</w:t>
      </w:r>
      <w:r w:rsidR="001E61AE" w:rsidRPr="00700CDD">
        <w:rPr>
          <w:rFonts w:ascii="Times New Roman" w:hAnsi="Times New Roman"/>
          <w:sz w:val="24"/>
          <w:szCs w:val="24"/>
        </w:rPr>
        <w:t>ih</w:t>
      </w:r>
      <w:r w:rsidR="006B4D89" w:rsidRPr="00700CDD">
        <w:rPr>
          <w:rFonts w:ascii="Times New Roman" w:hAnsi="Times New Roman"/>
          <w:sz w:val="24"/>
          <w:szCs w:val="24"/>
        </w:rPr>
        <w:t xml:space="preserve"> rashod</w:t>
      </w:r>
      <w:r w:rsidR="001E61AE" w:rsidRPr="00700CDD">
        <w:rPr>
          <w:rFonts w:ascii="Times New Roman" w:hAnsi="Times New Roman"/>
          <w:sz w:val="24"/>
          <w:szCs w:val="24"/>
        </w:rPr>
        <w:t>a</w:t>
      </w:r>
      <w:r w:rsidR="00740F82" w:rsidRPr="00700CDD">
        <w:rPr>
          <w:rFonts w:ascii="Times New Roman" w:hAnsi="Times New Roman"/>
          <w:sz w:val="24"/>
          <w:szCs w:val="24"/>
        </w:rPr>
        <w:t xml:space="preserve"> u eurima</w:t>
      </w:r>
      <w:r w:rsidR="006B4D89" w:rsidRPr="00700CDD">
        <w:rPr>
          <w:rFonts w:ascii="Times New Roman" w:hAnsi="Times New Roman"/>
          <w:sz w:val="24"/>
          <w:szCs w:val="24"/>
        </w:rPr>
        <w:t xml:space="preserve"> prikazani su u sljedećoj tablici: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29"/>
        <w:gridCol w:w="2543"/>
        <w:gridCol w:w="1443"/>
        <w:gridCol w:w="1483"/>
        <w:gridCol w:w="1417"/>
        <w:gridCol w:w="1134"/>
      </w:tblGrid>
      <w:tr w:rsidR="00700CDD" w:rsidRPr="00700CDD" w14:paraId="20C70B3A" w14:textId="77777777" w:rsidTr="00A40F80">
        <w:tc>
          <w:tcPr>
            <w:tcW w:w="829" w:type="dxa"/>
            <w:shd w:val="clear" w:color="auto" w:fill="B4C6E7"/>
            <w:vAlign w:val="center"/>
            <w:hideMark/>
          </w:tcPr>
          <w:p w14:paraId="0143CE72" w14:textId="77777777" w:rsidR="001D37F8" w:rsidRPr="00700CDD" w:rsidRDefault="001D37F8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Račun</w:t>
            </w:r>
          </w:p>
        </w:tc>
        <w:tc>
          <w:tcPr>
            <w:tcW w:w="2543" w:type="dxa"/>
            <w:shd w:val="clear" w:color="auto" w:fill="B4C6E7"/>
            <w:vAlign w:val="center"/>
            <w:hideMark/>
          </w:tcPr>
          <w:p w14:paraId="21538BA3" w14:textId="77777777" w:rsidR="001D37F8" w:rsidRPr="00700CDD" w:rsidRDefault="001D37F8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Opis</w:t>
            </w:r>
          </w:p>
        </w:tc>
        <w:tc>
          <w:tcPr>
            <w:tcW w:w="1443" w:type="dxa"/>
            <w:shd w:val="clear" w:color="auto" w:fill="B4C6E7"/>
            <w:vAlign w:val="center"/>
            <w:hideMark/>
          </w:tcPr>
          <w:p w14:paraId="1D20A3BE" w14:textId="1289E1E7" w:rsidR="001D37F8" w:rsidRPr="00700CDD" w:rsidRDefault="001D37F8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Plan 2025. godina</w:t>
            </w:r>
          </w:p>
        </w:tc>
        <w:tc>
          <w:tcPr>
            <w:tcW w:w="1483" w:type="dxa"/>
            <w:shd w:val="clear" w:color="auto" w:fill="B4C6E7"/>
            <w:vAlign w:val="center"/>
          </w:tcPr>
          <w:p w14:paraId="683D695B" w14:textId="77777777" w:rsidR="00B37F71" w:rsidRPr="00700CDD" w:rsidRDefault="001D37F8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Povećanje</w:t>
            </w:r>
            <w:r w:rsidR="00774B7D" w:rsidRPr="00700CDD">
              <w:rPr>
                <w:rFonts w:ascii="Times New Roman" w:hAnsi="Times New Roman"/>
                <w:b/>
                <w:szCs w:val="24"/>
                <w:lang w:eastAsia="en-US"/>
              </w:rPr>
              <w:t>/</w:t>
            </w:r>
          </w:p>
          <w:p w14:paraId="08365F7F" w14:textId="7A77FD4D" w:rsidR="001D37F8" w:rsidRPr="00700CDD" w:rsidRDefault="00774B7D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smanjenje</w:t>
            </w:r>
          </w:p>
        </w:tc>
        <w:tc>
          <w:tcPr>
            <w:tcW w:w="1417" w:type="dxa"/>
            <w:shd w:val="clear" w:color="auto" w:fill="B4C6E7"/>
          </w:tcPr>
          <w:p w14:paraId="2F8FD5EA" w14:textId="2C90966C" w:rsidR="001D37F8" w:rsidRPr="00700CDD" w:rsidRDefault="00774B7D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Novi plan 2025. godina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28FA2E18" w14:textId="02AFE496" w:rsidR="001D37F8" w:rsidRPr="00700CDD" w:rsidRDefault="00774B7D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Indeks</w:t>
            </w:r>
          </w:p>
        </w:tc>
      </w:tr>
      <w:tr w:rsidR="00700CDD" w:rsidRPr="00700CDD" w14:paraId="7C47E1CD" w14:textId="77777777" w:rsidTr="002E3DE9">
        <w:tc>
          <w:tcPr>
            <w:tcW w:w="829" w:type="dxa"/>
            <w:vAlign w:val="center"/>
            <w:hideMark/>
          </w:tcPr>
          <w:p w14:paraId="0F066A41" w14:textId="77777777" w:rsidR="001D37F8" w:rsidRPr="00700CDD" w:rsidRDefault="001D37F8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3</w:t>
            </w:r>
          </w:p>
        </w:tc>
        <w:tc>
          <w:tcPr>
            <w:tcW w:w="2543" w:type="dxa"/>
            <w:vAlign w:val="center"/>
            <w:hideMark/>
          </w:tcPr>
          <w:p w14:paraId="042707F6" w14:textId="77777777" w:rsidR="001D37F8" w:rsidRPr="00700CDD" w:rsidRDefault="001D37F8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Rashodi poslovanja</w:t>
            </w:r>
          </w:p>
        </w:tc>
        <w:tc>
          <w:tcPr>
            <w:tcW w:w="1443" w:type="dxa"/>
            <w:vAlign w:val="center"/>
          </w:tcPr>
          <w:p w14:paraId="68691702" w14:textId="27CB6514" w:rsidR="001D37F8" w:rsidRPr="00700CDD" w:rsidRDefault="001D37F8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2.432.943</w:t>
            </w:r>
          </w:p>
        </w:tc>
        <w:tc>
          <w:tcPr>
            <w:tcW w:w="1483" w:type="dxa"/>
            <w:vAlign w:val="center"/>
          </w:tcPr>
          <w:p w14:paraId="22A4977C" w14:textId="2DB59576" w:rsidR="001D37F8" w:rsidRPr="00700CDD" w:rsidRDefault="00136021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369.344</w:t>
            </w:r>
          </w:p>
        </w:tc>
        <w:tc>
          <w:tcPr>
            <w:tcW w:w="1417" w:type="dxa"/>
            <w:vAlign w:val="center"/>
          </w:tcPr>
          <w:p w14:paraId="3E2CFDF4" w14:textId="368D9FFD" w:rsidR="001D37F8" w:rsidRPr="00700CDD" w:rsidRDefault="00136021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2.802.</w:t>
            </w:r>
            <w:r w:rsidR="00EA17EE" w:rsidRPr="00700CDD">
              <w:rPr>
                <w:rFonts w:ascii="Times New Roman" w:hAnsi="Times New Roman"/>
                <w:b/>
                <w:szCs w:val="24"/>
                <w:lang w:eastAsia="en-US"/>
              </w:rPr>
              <w:t>287</w:t>
            </w:r>
          </w:p>
        </w:tc>
        <w:tc>
          <w:tcPr>
            <w:tcW w:w="1134" w:type="dxa"/>
            <w:vAlign w:val="center"/>
          </w:tcPr>
          <w:p w14:paraId="1F54337C" w14:textId="48A89171" w:rsidR="001D37F8" w:rsidRPr="00700CDD" w:rsidRDefault="00DD6B54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115,00</w:t>
            </w:r>
          </w:p>
        </w:tc>
      </w:tr>
      <w:tr w:rsidR="00700CDD" w:rsidRPr="00700CDD" w14:paraId="0EACBB01" w14:textId="77777777" w:rsidTr="002E3DE9">
        <w:tc>
          <w:tcPr>
            <w:tcW w:w="829" w:type="dxa"/>
            <w:vAlign w:val="center"/>
            <w:hideMark/>
          </w:tcPr>
          <w:p w14:paraId="6CAE79CB" w14:textId="77777777" w:rsidR="001D37F8" w:rsidRPr="00700CDD" w:rsidRDefault="001D37F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31</w:t>
            </w:r>
          </w:p>
        </w:tc>
        <w:tc>
          <w:tcPr>
            <w:tcW w:w="2543" w:type="dxa"/>
            <w:vAlign w:val="center"/>
            <w:hideMark/>
          </w:tcPr>
          <w:p w14:paraId="7C83588E" w14:textId="77777777" w:rsidR="001D37F8" w:rsidRPr="00700CDD" w:rsidRDefault="001D37F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Rashodi za zaposlene</w:t>
            </w:r>
          </w:p>
        </w:tc>
        <w:tc>
          <w:tcPr>
            <w:tcW w:w="1443" w:type="dxa"/>
            <w:vAlign w:val="center"/>
          </w:tcPr>
          <w:p w14:paraId="55E92A82" w14:textId="00D3B9B0" w:rsidR="001D37F8" w:rsidRPr="00700CDD" w:rsidRDefault="001D37F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1.763.164</w:t>
            </w:r>
          </w:p>
        </w:tc>
        <w:tc>
          <w:tcPr>
            <w:tcW w:w="1483" w:type="dxa"/>
            <w:vAlign w:val="center"/>
          </w:tcPr>
          <w:p w14:paraId="6D109EDB" w14:textId="48546BD8" w:rsidR="001D37F8" w:rsidRPr="00700CDD" w:rsidRDefault="00EA17E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174.212</w:t>
            </w:r>
          </w:p>
        </w:tc>
        <w:tc>
          <w:tcPr>
            <w:tcW w:w="1417" w:type="dxa"/>
            <w:vAlign w:val="center"/>
          </w:tcPr>
          <w:p w14:paraId="0A6C35D1" w14:textId="27BDA7C5" w:rsidR="001D37F8" w:rsidRPr="00700CDD" w:rsidRDefault="00EA17E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1.937.376</w:t>
            </w:r>
          </w:p>
        </w:tc>
        <w:tc>
          <w:tcPr>
            <w:tcW w:w="1134" w:type="dxa"/>
            <w:vAlign w:val="center"/>
          </w:tcPr>
          <w:p w14:paraId="31AB2B66" w14:textId="78FE08C5" w:rsidR="001D37F8" w:rsidRPr="00700CDD" w:rsidRDefault="006B21AD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110,00</w:t>
            </w:r>
          </w:p>
        </w:tc>
      </w:tr>
      <w:tr w:rsidR="00700CDD" w:rsidRPr="00700CDD" w14:paraId="74C2D944" w14:textId="77777777" w:rsidTr="002E3DE9">
        <w:tc>
          <w:tcPr>
            <w:tcW w:w="829" w:type="dxa"/>
            <w:vAlign w:val="center"/>
            <w:hideMark/>
          </w:tcPr>
          <w:p w14:paraId="138ECBC4" w14:textId="77777777" w:rsidR="001D37F8" w:rsidRPr="00700CDD" w:rsidRDefault="001D37F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32</w:t>
            </w:r>
          </w:p>
        </w:tc>
        <w:tc>
          <w:tcPr>
            <w:tcW w:w="2543" w:type="dxa"/>
            <w:vAlign w:val="center"/>
            <w:hideMark/>
          </w:tcPr>
          <w:p w14:paraId="682BCCBB" w14:textId="77777777" w:rsidR="001D37F8" w:rsidRPr="00700CDD" w:rsidRDefault="001D37F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Materijalni rashodi</w:t>
            </w:r>
          </w:p>
        </w:tc>
        <w:tc>
          <w:tcPr>
            <w:tcW w:w="1443" w:type="dxa"/>
            <w:vAlign w:val="center"/>
          </w:tcPr>
          <w:p w14:paraId="735A1A6A" w14:textId="5D82B974" w:rsidR="001D37F8" w:rsidRPr="00700CDD" w:rsidRDefault="001D37F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591.326</w:t>
            </w:r>
          </w:p>
        </w:tc>
        <w:tc>
          <w:tcPr>
            <w:tcW w:w="1483" w:type="dxa"/>
            <w:vAlign w:val="center"/>
          </w:tcPr>
          <w:p w14:paraId="62B457B5" w14:textId="1EF4A4A6" w:rsidR="001D37F8" w:rsidRPr="00700CDD" w:rsidRDefault="00845B36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210.177</w:t>
            </w:r>
          </w:p>
        </w:tc>
        <w:tc>
          <w:tcPr>
            <w:tcW w:w="1417" w:type="dxa"/>
            <w:vAlign w:val="center"/>
          </w:tcPr>
          <w:p w14:paraId="76616EED" w14:textId="7BEE3F51" w:rsidR="001D37F8" w:rsidRPr="00700CDD" w:rsidRDefault="00845B36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801.503</w:t>
            </w:r>
          </w:p>
        </w:tc>
        <w:tc>
          <w:tcPr>
            <w:tcW w:w="1134" w:type="dxa"/>
            <w:vAlign w:val="center"/>
          </w:tcPr>
          <w:p w14:paraId="3B9596B1" w14:textId="06575E21" w:rsidR="001D37F8" w:rsidRPr="00700CDD" w:rsidRDefault="006B21AD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136,00</w:t>
            </w:r>
          </w:p>
        </w:tc>
      </w:tr>
      <w:tr w:rsidR="00700CDD" w:rsidRPr="00700CDD" w14:paraId="49B4574B" w14:textId="77777777" w:rsidTr="002E3DE9">
        <w:tc>
          <w:tcPr>
            <w:tcW w:w="829" w:type="dxa"/>
            <w:vAlign w:val="center"/>
            <w:hideMark/>
          </w:tcPr>
          <w:p w14:paraId="72160527" w14:textId="77777777" w:rsidR="001D37F8" w:rsidRPr="00700CDD" w:rsidRDefault="001D37F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34</w:t>
            </w:r>
          </w:p>
        </w:tc>
        <w:tc>
          <w:tcPr>
            <w:tcW w:w="2543" w:type="dxa"/>
            <w:vAlign w:val="center"/>
            <w:hideMark/>
          </w:tcPr>
          <w:p w14:paraId="51D0A852" w14:textId="77777777" w:rsidR="001D37F8" w:rsidRPr="00700CDD" w:rsidRDefault="001D37F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Financijski rashodi</w:t>
            </w:r>
          </w:p>
        </w:tc>
        <w:tc>
          <w:tcPr>
            <w:tcW w:w="1443" w:type="dxa"/>
            <w:vAlign w:val="center"/>
          </w:tcPr>
          <w:p w14:paraId="4CD63512" w14:textId="58CA2B2D" w:rsidR="001D37F8" w:rsidRPr="00700CDD" w:rsidRDefault="001D37F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4.000</w:t>
            </w:r>
          </w:p>
        </w:tc>
        <w:tc>
          <w:tcPr>
            <w:tcW w:w="1483" w:type="dxa"/>
            <w:vAlign w:val="center"/>
          </w:tcPr>
          <w:p w14:paraId="50BEC0DD" w14:textId="0951F879" w:rsidR="001D37F8" w:rsidRPr="00700CDD" w:rsidRDefault="00845B36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-500</w:t>
            </w:r>
          </w:p>
        </w:tc>
        <w:tc>
          <w:tcPr>
            <w:tcW w:w="1417" w:type="dxa"/>
            <w:vAlign w:val="center"/>
          </w:tcPr>
          <w:p w14:paraId="03E38A1B" w14:textId="69B7A7AC" w:rsidR="001D37F8" w:rsidRPr="00700CDD" w:rsidRDefault="00845B36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3.500</w:t>
            </w:r>
          </w:p>
        </w:tc>
        <w:tc>
          <w:tcPr>
            <w:tcW w:w="1134" w:type="dxa"/>
            <w:vAlign w:val="center"/>
          </w:tcPr>
          <w:p w14:paraId="40F9C982" w14:textId="2251D177" w:rsidR="001D37F8" w:rsidRPr="00700CDD" w:rsidRDefault="006B21AD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88,00</w:t>
            </w:r>
          </w:p>
        </w:tc>
      </w:tr>
      <w:tr w:rsidR="00700CDD" w:rsidRPr="00700CDD" w14:paraId="62B94814" w14:textId="77777777" w:rsidTr="002E3DE9">
        <w:tc>
          <w:tcPr>
            <w:tcW w:w="829" w:type="dxa"/>
            <w:vAlign w:val="center"/>
            <w:hideMark/>
          </w:tcPr>
          <w:p w14:paraId="2685B4A2" w14:textId="77777777" w:rsidR="001D37F8" w:rsidRPr="00700CDD" w:rsidRDefault="001D37F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37</w:t>
            </w:r>
          </w:p>
        </w:tc>
        <w:tc>
          <w:tcPr>
            <w:tcW w:w="2543" w:type="dxa"/>
            <w:vAlign w:val="center"/>
            <w:hideMark/>
          </w:tcPr>
          <w:p w14:paraId="726F8344" w14:textId="61379EA5" w:rsidR="001D37F8" w:rsidRPr="00700CDD" w:rsidRDefault="001D37F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Naknade građanima i kućanstvima</w:t>
            </w:r>
            <w:r w:rsidR="00022A8D" w:rsidRPr="00700CDD">
              <w:rPr>
                <w:rFonts w:ascii="Times New Roman" w:hAnsi="Times New Roman"/>
                <w:szCs w:val="24"/>
                <w:lang w:eastAsia="en-US"/>
              </w:rPr>
              <w:t xml:space="preserve"> na temelju osiguranja i druge naknade</w:t>
            </w:r>
          </w:p>
        </w:tc>
        <w:tc>
          <w:tcPr>
            <w:tcW w:w="1443" w:type="dxa"/>
            <w:vAlign w:val="center"/>
          </w:tcPr>
          <w:p w14:paraId="3B0BAE6E" w14:textId="62875DCD" w:rsidR="001D37F8" w:rsidRPr="00700CDD" w:rsidRDefault="001D37F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64.453</w:t>
            </w:r>
          </w:p>
        </w:tc>
        <w:tc>
          <w:tcPr>
            <w:tcW w:w="1483" w:type="dxa"/>
            <w:vAlign w:val="center"/>
          </w:tcPr>
          <w:p w14:paraId="4A2F8D00" w14:textId="1330C023" w:rsidR="001D37F8" w:rsidRPr="00700CDD" w:rsidRDefault="004F6F41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-35.545</w:t>
            </w:r>
          </w:p>
        </w:tc>
        <w:tc>
          <w:tcPr>
            <w:tcW w:w="1417" w:type="dxa"/>
            <w:vAlign w:val="center"/>
          </w:tcPr>
          <w:p w14:paraId="7254C17D" w14:textId="4EE9EA63" w:rsidR="001D37F8" w:rsidRPr="00700CDD" w:rsidRDefault="004F6F41" w:rsidP="004F6F41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28.908</w:t>
            </w:r>
          </w:p>
        </w:tc>
        <w:tc>
          <w:tcPr>
            <w:tcW w:w="1134" w:type="dxa"/>
            <w:vAlign w:val="center"/>
          </w:tcPr>
          <w:p w14:paraId="1D410714" w14:textId="408B5875" w:rsidR="001D37F8" w:rsidRPr="00700CDD" w:rsidRDefault="008939CD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45,00</w:t>
            </w:r>
          </w:p>
        </w:tc>
      </w:tr>
      <w:tr w:rsidR="00700CDD" w:rsidRPr="00700CDD" w14:paraId="2A465552" w14:textId="77777777" w:rsidTr="002E3DE9">
        <w:tc>
          <w:tcPr>
            <w:tcW w:w="829" w:type="dxa"/>
            <w:vAlign w:val="center"/>
            <w:hideMark/>
          </w:tcPr>
          <w:p w14:paraId="790F21D8" w14:textId="77777777" w:rsidR="001D37F8" w:rsidRPr="00700CDD" w:rsidRDefault="001D37F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38</w:t>
            </w:r>
          </w:p>
        </w:tc>
        <w:tc>
          <w:tcPr>
            <w:tcW w:w="2543" w:type="dxa"/>
            <w:vAlign w:val="center"/>
            <w:hideMark/>
          </w:tcPr>
          <w:p w14:paraId="549261F7" w14:textId="582123B7" w:rsidR="001D37F8" w:rsidRPr="00700CDD" w:rsidRDefault="007B159C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R</w:t>
            </w:r>
            <w:r w:rsidR="001D37F8" w:rsidRPr="00700CDD">
              <w:rPr>
                <w:rFonts w:ascii="Times New Roman" w:hAnsi="Times New Roman"/>
                <w:szCs w:val="24"/>
                <w:lang w:eastAsia="en-US"/>
              </w:rPr>
              <w:t>ashodi</w:t>
            </w:r>
            <w:r w:rsidRPr="00700CDD">
              <w:rPr>
                <w:rFonts w:ascii="Times New Roman" w:hAnsi="Times New Roman"/>
                <w:szCs w:val="24"/>
                <w:lang w:eastAsia="en-US"/>
              </w:rPr>
              <w:t xml:space="preserve"> za donacije</w:t>
            </w:r>
            <w:r w:rsidR="00AC0A16" w:rsidRPr="00700CDD">
              <w:rPr>
                <w:rFonts w:ascii="Times New Roman" w:hAnsi="Times New Roman"/>
                <w:szCs w:val="24"/>
                <w:lang w:eastAsia="en-US"/>
              </w:rPr>
              <w:t>, kazne, naknade šteta i kapitalne pomoći</w:t>
            </w:r>
          </w:p>
        </w:tc>
        <w:tc>
          <w:tcPr>
            <w:tcW w:w="1443" w:type="dxa"/>
            <w:vAlign w:val="center"/>
          </w:tcPr>
          <w:p w14:paraId="0EC51C5F" w14:textId="7E2D0E9C" w:rsidR="001D37F8" w:rsidRPr="00700CDD" w:rsidRDefault="001D37F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10.000</w:t>
            </w:r>
          </w:p>
        </w:tc>
        <w:tc>
          <w:tcPr>
            <w:tcW w:w="1483" w:type="dxa"/>
            <w:vAlign w:val="center"/>
          </w:tcPr>
          <w:p w14:paraId="3ADE219C" w14:textId="2CF9BFF3" w:rsidR="001D37F8" w:rsidRPr="00700CDD" w:rsidRDefault="00101AE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21.000</w:t>
            </w:r>
          </w:p>
        </w:tc>
        <w:tc>
          <w:tcPr>
            <w:tcW w:w="1417" w:type="dxa"/>
            <w:vAlign w:val="center"/>
          </w:tcPr>
          <w:p w14:paraId="5D8547A1" w14:textId="083BF01A" w:rsidR="001D37F8" w:rsidRPr="00700CDD" w:rsidRDefault="00101AE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31.000</w:t>
            </w:r>
          </w:p>
        </w:tc>
        <w:tc>
          <w:tcPr>
            <w:tcW w:w="1134" w:type="dxa"/>
            <w:vAlign w:val="center"/>
          </w:tcPr>
          <w:p w14:paraId="76BC20E1" w14:textId="4D8DCF60" w:rsidR="001D37F8" w:rsidRPr="00700CDD" w:rsidRDefault="008939CD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310,00</w:t>
            </w:r>
          </w:p>
        </w:tc>
      </w:tr>
      <w:tr w:rsidR="00700CDD" w:rsidRPr="00700CDD" w14:paraId="5C842960" w14:textId="77777777" w:rsidTr="002E3DE9">
        <w:tc>
          <w:tcPr>
            <w:tcW w:w="829" w:type="dxa"/>
            <w:vAlign w:val="center"/>
            <w:hideMark/>
          </w:tcPr>
          <w:p w14:paraId="6743EEBF" w14:textId="77777777" w:rsidR="001D37F8" w:rsidRPr="00700CDD" w:rsidRDefault="001D37F8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4</w:t>
            </w:r>
          </w:p>
        </w:tc>
        <w:tc>
          <w:tcPr>
            <w:tcW w:w="2543" w:type="dxa"/>
            <w:vAlign w:val="center"/>
            <w:hideMark/>
          </w:tcPr>
          <w:p w14:paraId="342B0BED" w14:textId="77777777" w:rsidR="001D37F8" w:rsidRPr="00700CDD" w:rsidRDefault="001D37F8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Rashodi za nabavu nefinancijske imovine</w:t>
            </w:r>
          </w:p>
        </w:tc>
        <w:tc>
          <w:tcPr>
            <w:tcW w:w="1443" w:type="dxa"/>
            <w:vAlign w:val="center"/>
          </w:tcPr>
          <w:p w14:paraId="72754435" w14:textId="67B45DC4" w:rsidR="001D37F8" w:rsidRPr="00700CDD" w:rsidRDefault="001D37F8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613.500</w:t>
            </w:r>
          </w:p>
        </w:tc>
        <w:tc>
          <w:tcPr>
            <w:tcW w:w="1483" w:type="dxa"/>
            <w:vAlign w:val="center"/>
          </w:tcPr>
          <w:p w14:paraId="17C69F8A" w14:textId="24206DD5" w:rsidR="001D37F8" w:rsidRPr="00700CDD" w:rsidRDefault="00101AE3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-340.666</w:t>
            </w:r>
          </w:p>
        </w:tc>
        <w:tc>
          <w:tcPr>
            <w:tcW w:w="1417" w:type="dxa"/>
            <w:vAlign w:val="center"/>
          </w:tcPr>
          <w:p w14:paraId="595BBD8F" w14:textId="188A74AB" w:rsidR="001D37F8" w:rsidRPr="00700CDD" w:rsidRDefault="00101AE3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272.834</w:t>
            </w:r>
          </w:p>
        </w:tc>
        <w:tc>
          <w:tcPr>
            <w:tcW w:w="1134" w:type="dxa"/>
            <w:vAlign w:val="center"/>
          </w:tcPr>
          <w:p w14:paraId="39E33565" w14:textId="35F38DCB" w:rsidR="001D37F8" w:rsidRPr="00700CDD" w:rsidRDefault="008939CD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szCs w:val="24"/>
                <w:lang w:eastAsia="en-US"/>
              </w:rPr>
              <w:t>44,00</w:t>
            </w:r>
          </w:p>
        </w:tc>
      </w:tr>
      <w:tr w:rsidR="00700CDD" w:rsidRPr="00700CDD" w14:paraId="2995A0FB" w14:textId="77777777" w:rsidTr="002E3DE9">
        <w:tc>
          <w:tcPr>
            <w:tcW w:w="829" w:type="dxa"/>
            <w:vAlign w:val="center"/>
            <w:hideMark/>
          </w:tcPr>
          <w:p w14:paraId="55341EDE" w14:textId="77777777" w:rsidR="001D37F8" w:rsidRPr="00700CDD" w:rsidRDefault="001D37F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41</w:t>
            </w:r>
          </w:p>
        </w:tc>
        <w:tc>
          <w:tcPr>
            <w:tcW w:w="2543" w:type="dxa"/>
            <w:vAlign w:val="center"/>
            <w:hideMark/>
          </w:tcPr>
          <w:p w14:paraId="4B910011" w14:textId="1599BE94" w:rsidR="001D37F8" w:rsidRPr="00700CDD" w:rsidRDefault="001D37F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 xml:space="preserve">Rashodi za nabavu neproizvedene </w:t>
            </w:r>
            <w:r w:rsidR="00D909BE" w:rsidRPr="00700CDD">
              <w:rPr>
                <w:rFonts w:ascii="Times New Roman" w:hAnsi="Times New Roman"/>
                <w:szCs w:val="24"/>
                <w:lang w:eastAsia="en-US"/>
              </w:rPr>
              <w:t xml:space="preserve">dugotrajne </w:t>
            </w:r>
            <w:r w:rsidRPr="00700CDD">
              <w:rPr>
                <w:rFonts w:ascii="Times New Roman" w:hAnsi="Times New Roman"/>
                <w:szCs w:val="24"/>
                <w:lang w:eastAsia="en-US"/>
              </w:rPr>
              <w:t>imovine</w:t>
            </w:r>
          </w:p>
        </w:tc>
        <w:tc>
          <w:tcPr>
            <w:tcW w:w="1443" w:type="dxa"/>
            <w:vAlign w:val="center"/>
          </w:tcPr>
          <w:p w14:paraId="14BC68B7" w14:textId="4A4099B5" w:rsidR="001D37F8" w:rsidRPr="00700CDD" w:rsidRDefault="001D37F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490.000</w:t>
            </w:r>
          </w:p>
        </w:tc>
        <w:tc>
          <w:tcPr>
            <w:tcW w:w="1483" w:type="dxa"/>
            <w:vAlign w:val="center"/>
          </w:tcPr>
          <w:p w14:paraId="1B09F479" w14:textId="0783543E" w:rsidR="001D37F8" w:rsidRPr="00700CDD" w:rsidRDefault="00A32806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-318.173</w:t>
            </w:r>
          </w:p>
        </w:tc>
        <w:tc>
          <w:tcPr>
            <w:tcW w:w="1417" w:type="dxa"/>
            <w:vAlign w:val="center"/>
          </w:tcPr>
          <w:p w14:paraId="46FCF774" w14:textId="27A1BB12" w:rsidR="001D37F8" w:rsidRPr="00700CDD" w:rsidRDefault="00A32806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171.827</w:t>
            </w:r>
          </w:p>
        </w:tc>
        <w:tc>
          <w:tcPr>
            <w:tcW w:w="1134" w:type="dxa"/>
            <w:vAlign w:val="center"/>
          </w:tcPr>
          <w:p w14:paraId="67F47E14" w14:textId="7FF0FE4F" w:rsidR="001D37F8" w:rsidRPr="00700CDD" w:rsidRDefault="00885DD1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35,00</w:t>
            </w:r>
          </w:p>
        </w:tc>
      </w:tr>
      <w:tr w:rsidR="00700CDD" w:rsidRPr="00700CDD" w14:paraId="73A25009" w14:textId="77777777" w:rsidTr="002E3DE9">
        <w:tc>
          <w:tcPr>
            <w:tcW w:w="829" w:type="dxa"/>
            <w:vAlign w:val="center"/>
            <w:hideMark/>
          </w:tcPr>
          <w:p w14:paraId="6C4D7D3F" w14:textId="77777777" w:rsidR="001D37F8" w:rsidRPr="00700CDD" w:rsidRDefault="001D37F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42</w:t>
            </w:r>
          </w:p>
        </w:tc>
        <w:tc>
          <w:tcPr>
            <w:tcW w:w="2543" w:type="dxa"/>
            <w:vAlign w:val="center"/>
            <w:hideMark/>
          </w:tcPr>
          <w:p w14:paraId="73CABF56" w14:textId="77777777" w:rsidR="001D37F8" w:rsidRPr="00700CDD" w:rsidRDefault="001D37F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Rashodi za nabavu proizvedene dugotrajne imovine</w:t>
            </w:r>
          </w:p>
        </w:tc>
        <w:tc>
          <w:tcPr>
            <w:tcW w:w="1443" w:type="dxa"/>
            <w:vAlign w:val="center"/>
          </w:tcPr>
          <w:p w14:paraId="441B4459" w14:textId="5FE1F664" w:rsidR="001D37F8" w:rsidRPr="00700CDD" w:rsidRDefault="001D37F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98.500</w:t>
            </w:r>
          </w:p>
        </w:tc>
        <w:tc>
          <w:tcPr>
            <w:tcW w:w="1483" w:type="dxa"/>
            <w:vAlign w:val="center"/>
          </w:tcPr>
          <w:p w14:paraId="6519D8C8" w14:textId="5BBCD7A6" w:rsidR="001D37F8" w:rsidRPr="00700CDD" w:rsidRDefault="00A32806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-7.493</w:t>
            </w:r>
          </w:p>
        </w:tc>
        <w:tc>
          <w:tcPr>
            <w:tcW w:w="1417" w:type="dxa"/>
            <w:vAlign w:val="center"/>
          </w:tcPr>
          <w:p w14:paraId="28C6ABEC" w14:textId="55EF6F96" w:rsidR="001D37F8" w:rsidRPr="00700CDD" w:rsidRDefault="00A32806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91.007</w:t>
            </w:r>
          </w:p>
        </w:tc>
        <w:tc>
          <w:tcPr>
            <w:tcW w:w="1134" w:type="dxa"/>
            <w:vAlign w:val="center"/>
          </w:tcPr>
          <w:p w14:paraId="2B9E5151" w14:textId="27F97078" w:rsidR="001D37F8" w:rsidRPr="00700CDD" w:rsidRDefault="00885DD1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92,00</w:t>
            </w:r>
          </w:p>
        </w:tc>
      </w:tr>
      <w:tr w:rsidR="00700CDD" w:rsidRPr="00700CDD" w14:paraId="0BFBF2D4" w14:textId="77777777" w:rsidTr="002E3DE9">
        <w:tc>
          <w:tcPr>
            <w:tcW w:w="829" w:type="dxa"/>
            <w:vAlign w:val="center"/>
            <w:hideMark/>
          </w:tcPr>
          <w:p w14:paraId="34E571A4" w14:textId="77777777" w:rsidR="001D37F8" w:rsidRPr="00700CDD" w:rsidRDefault="001D37F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45</w:t>
            </w:r>
          </w:p>
        </w:tc>
        <w:tc>
          <w:tcPr>
            <w:tcW w:w="2543" w:type="dxa"/>
            <w:vAlign w:val="center"/>
            <w:hideMark/>
          </w:tcPr>
          <w:p w14:paraId="61456A88" w14:textId="77777777" w:rsidR="001D37F8" w:rsidRPr="00700CDD" w:rsidRDefault="001D37F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Rashodi za dodatna ulaganja na nefinancijskoj imovini</w:t>
            </w:r>
          </w:p>
        </w:tc>
        <w:tc>
          <w:tcPr>
            <w:tcW w:w="1443" w:type="dxa"/>
            <w:vAlign w:val="center"/>
          </w:tcPr>
          <w:p w14:paraId="3F14C7F6" w14:textId="773A3577" w:rsidR="001D37F8" w:rsidRPr="00700CDD" w:rsidRDefault="001D37F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25.000</w:t>
            </w:r>
          </w:p>
        </w:tc>
        <w:tc>
          <w:tcPr>
            <w:tcW w:w="1483" w:type="dxa"/>
            <w:vAlign w:val="center"/>
          </w:tcPr>
          <w:p w14:paraId="1B47F911" w14:textId="3A085615" w:rsidR="001D37F8" w:rsidRPr="00700CDD" w:rsidRDefault="00A32806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-15.000</w:t>
            </w:r>
          </w:p>
        </w:tc>
        <w:tc>
          <w:tcPr>
            <w:tcW w:w="1417" w:type="dxa"/>
            <w:vAlign w:val="center"/>
          </w:tcPr>
          <w:p w14:paraId="537054A8" w14:textId="0E65A213" w:rsidR="001D37F8" w:rsidRPr="00700CDD" w:rsidRDefault="00A32806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10.000</w:t>
            </w:r>
          </w:p>
        </w:tc>
        <w:tc>
          <w:tcPr>
            <w:tcW w:w="1134" w:type="dxa"/>
            <w:vAlign w:val="center"/>
          </w:tcPr>
          <w:p w14:paraId="332ACCB4" w14:textId="6760DD81" w:rsidR="001D37F8" w:rsidRPr="00700CDD" w:rsidRDefault="00BC5930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szCs w:val="24"/>
                <w:lang w:eastAsia="en-US"/>
              </w:rPr>
              <w:t>40,00</w:t>
            </w:r>
          </w:p>
        </w:tc>
      </w:tr>
      <w:tr w:rsidR="004F4F66" w:rsidRPr="00700CDD" w14:paraId="643D77F3" w14:textId="77777777" w:rsidTr="002E3DE9">
        <w:tc>
          <w:tcPr>
            <w:tcW w:w="829" w:type="dxa"/>
            <w:vAlign w:val="center"/>
          </w:tcPr>
          <w:p w14:paraId="475B08AA" w14:textId="77777777" w:rsidR="004F4F66" w:rsidRPr="00700CDD" w:rsidRDefault="004F4F66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543" w:type="dxa"/>
            <w:vAlign w:val="center"/>
          </w:tcPr>
          <w:p w14:paraId="0A683827" w14:textId="2561AC5D" w:rsidR="004F4F66" w:rsidRPr="00700CDD" w:rsidRDefault="004F4F66">
            <w:pPr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bCs/>
                <w:szCs w:val="24"/>
                <w:lang w:eastAsia="en-US"/>
              </w:rPr>
              <w:t>UKUPNO RASHODI</w:t>
            </w:r>
          </w:p>
        </w:tc>
        <w:tc>
          <w:tcPr>
            <w:tcW w:w="1443" w:type="dxa"/>
            <w:vAlign w:val="center"/>
          </w:tcPr>
          <w:p w14:paraId="5B3EF434" w14:textId="7A05F30B" w:rsidR="004F4F66" w:rsidRPr="00700CDD" w:rsidRDefault="00426269">
            <w:pPr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bCs/>
                <w:szCs w:val="24"/>
                <w:lang w:eastAsia="en-US"/>
              </w:rPr>
              <w:t>3.046.443</w:t>
            </w:r>
          </w:p>
        </w:tc>
        <w:tc>
          <w:tcPr>
            <w:tcW w:w="1483" w:type="dxa"/>
            <w:vAlign w:val="center"/>
          </w:tcPr>
          <w:p w14:paraId="192B4609" w14:textId="229477FF" w:rsidR="004F4F66" w:rsidRPr="00700CDD" w:rsidRDefault="00DD6B54">
            <w:pPr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bCs/>
                <w:szCs w:val="24"/>
                <w:lang w:eastAsia="en-US"/>
              </w:rPr>
              <w:t>26.678</w:t>
            </w:r>
          </w:p>
        </w:tc>
        <w:tc>
          <w:tcPr>
            <w:tcW w:w="1417" w:type="dxa"/>
            <w:vAlign w:val="center"/>
          </w:tcPr>
          <w:p w14:paraId="2C2A8443" w14:textId="7E903D90" w:rsidR="004F4F66" w:rsidRPr="00700CDD" w:rsidRDefault="00DD6B54">
            <w:pPr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bCs/>
                <w:szCs w:val="24"/>
                <w:lang w:eastAsia="en-US"/>
              </w:rPr>
              <w:t>3.075.121</w:t>
            </w:r>
          </w:p>
        </w:tc>
        <w:tc>
          <w:tcPr>
            <w:tcW w:w="1134" w:type="dxa"/>
            <w:vAlign w:val="center"/>
          </w:tcPr>
          <w:p w14:paraId="7620D2A2" w14:textId="7F2F1581" w:rsidR="004F4F66" w:rsidRPr="00700CDD" w:rsidRDefault="00BC5930">
            <w:pPr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 w:rsidRPr="00700CDD">
              <w:rPr>
                <w:rFonts w:ascii="Times New Roman" w:hAnsi="Times New Roman"/>
                <w:b/>
                <w:bCs/>
                <w:szCs w:val="24"/>
                <w:lang w:eastAsia="en-US"/>
              </w:rPr>
              <w:t>101,00</w:t>
            </w:r>
          </w:p>
        </w:tc>
      </w:tr>
    </w:tbl>
    <w:p w14:paraId="5B9F75E5" w14:textId="77777777" w:rsidR="00D361C0" w:rsidRPr="00700CDD" w:rsidRDefault="00D361C0" w:rsidP="00937485">
      <w:pPr>
        <w:spacing w:after="200"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0F7ACBF4" w14:textId="1EB92F6D" w:rsidR="00AF0788" w:rsidRPr="00700CDD" w:rsidRDefault="00AF0788" w:rsidP="00810972">
      <w:pPr>
        <w:spacing w:after="200" w:line="276" w:lineRule="auto"/>
        <w:ind w:left="360"/>
        <w:rPr>
          <w:rFonts w:ascii="Times New Roman" w:hAnsi="Times New Roman"/>
          <w:b/>
          <w:sz w:val="24"/>
          <w:szCs w:val="24"/>
        </w:rPr>
      </w:pPr>
      <w:r w:rsidRPr="00700CDD">
        <w:rPr>
          <w:rFonts w:ascii="Times New Roman" w:hAnsi="Times New Roman"/>
          <w:b/>
          <w:sz w:val="24"/>
          <w:szCs w:val="24"/>
        </w:rPr>
        <w:t>PRIJENOS SREDSTAVA IZ PRETHODNE</w:t>
      </w:r>
      <w:r w:rsidR="00A12EFF" w:rsidRPr="00700CDD">
        <w:rPr>
          <w:rFonts w:ascii="Times New Roman" w:hAnsi="Times New Roman"/>
          <w:b/>
          <w:sz w:val="24"/>
          <w:szCs w:val="24"/>
        </w:rPr>
        <w:t xml:space="preserve"> </w:t>
      </w:r>
      <w:r w:rsidR="00670FD3" w:rsidRPr="00700CDD">
        <w:rPr>
          <w:rFonts w:ascii="Times New Roman" w:hAnsi="Times New Roman"/>
          <w:b/>
          <w:sz w:val="24"/>
          <w:szCs w:val="24"/>
        </w:rPr>
        <w:t>I</w:t>
      </w:r>
      <w:r w:rsidR="00A12EFF" w:rsidRPr="00700CDD">
        <w:rPr>
          <w:rFonts w:ascii="Times New Roman" w:hAnsi="Times New Roman"/>
          <w:b/>
          <w:sz w:val="24"/>
          <w:szCs w:val="24"/>
        </w:rPr>
        <w:t xml:space="preserve"> U SLJEDEĆ</w:t>
      </w:r>
      <w:r w:rsidR="00AA2A8F" w:rsidRPr="00700CDD">
        <w:rPr>
          <w:rFonts w:ascii="Times New Roman" w:hAnsi="Times New Roman"/>
          <w:b/>
          <w:sz w:val="24"/>
          <w:szCs w:val="24"/>
        </w:rPr>
        <w:t>U</w:t>
      </w:r>
      <w:r w:rsidR="00A12EFF" w:rsidRPr="00700CDD">
        <w:rPr>
          <w:rFonts w:ascii="Times New Roman" w:hAnsi="Times New Roman"/>
          <w:b/>
          <w:sz w:val="24"/>
          <w:szCs w:val="24"/>
        </w:rPr>
        <w:t xml:space="preserve"> </w:t>
      </w:r>
      <w:r w:rsidR="00AA2A8F" w:rsidRPr="00700CDD">
        <w:rPr>
          <w:rFonts w:ascii="Times New Roman" w:hAnsi="Times New Roman"/>
          <w:b/>
          <w:sz w:val="24"/>
          <w:szCs w:val="24"/>
        </w:rPr>
        <w:t>GODINU</w:t>
      </w:r>
    </w:p>
    <w:p w14:paraId="1F1936B3" w14:textId="160CA313" w:rsidR="00EA062D" w:rsidRPr="00700CDD" w:rsidRDefault="00AF0788" w:rsidP="00EA062D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0CDD">
        <w:rPr>
          <w:rFonts w:ascii="Times New Roman" w:hAnsi="Times New Roman"/>
          <w:sz w:val="24"/>
          <w:szCs w:val="24"/>
        </w:rPr>
        <w:t xml:space="preserve">Prijenos sredstava iz prethodne godine (donos) iznosi </w:t>
      </w:r>
      <w:r w:rsidR="0009355F" w:rsidRPr="00700CDD">
        <w:rPr>
          <w:rFonts w:ascii="Times New Roman" w:hAnsi="Times New Roman"/>
          <w:sz w:val="24"/>
          <w:szCs w:val="24"/>
        </w:rPr>
        <w:t>1</w:t>
      </w:r>
      <w:r w:rsidR="00FB20BF" w:rsidRPr="00700CDD">
        <w:rPr>
          <w:rFonts w:ascii="Times New Roman" w:hAnsi="Times New Roman"/>
          <w:sz w:val="24"/>
          <w:szCs w:val="24"/>
        </w:rPr>
        <w:t>.104.13</w:t>
      </w:r>
      <w:r w:rsidR="00A95B4A" w:rsidRPr="00700CDD">
        <w:rPr>
          <w:rFonts w:ascii="Times New Roman" w:hAnsi="Times New Roman"/>
          <w:sz w:val="24"/>
          <w:szCs w:val="24"/>
        </w:rPr>
        <w:t>8,36</w:t>
      </w:r>
      <w:r w:rsidR="001B185C" w:rsidRPr="00700CDD">
        <w:rPr>
          <w:rFonts w:ascii="Times New Roman" w:hAnsi="Times New Roman"/>
          <w:sz w:val="24"/>
          <w:szCs w:val="24"/>
        </w:rPr>
        <w:t xml:space="preserve"> eura </w:t>
      </w:r>
      <w:r w:rsidRPr="00700CDD">
        <w:rPr>
          <w:rFonts w:ascii="Times New Roman" w:hAnsi="Times New Roman"/>
          <w:sz w:val="24"/>
          <w:szCs w:val="24"/>
        </w:rPr>
        <w:t xml:space="preserve">a odnosi se na neutrošena sredstva </w:t>
      </w:r>
      <w:r w:rsidR="001B185C" w:rsidRPr="00700CDD">
        <w:rPr>
          <w:rFonts w:ascii="Times New Roman" w:hAnsi="Times New Roman"/>
          <w:sz w:val="24"/>
          <w:szCs w:val="24"/>
        </w:rPr>
        <w:t xml:space="preserve">prihoda za posebne namjene </w:t>
      </w:r>
      <w:r w:rsidR="007D43B3" w:rsidRPr="00700CDD">
        <w:rPr>
          <w:rFonts w:ascii="Times New Roman" w:hAnsi="Times New Roman"/>
          <w:sz w:val="24"/>
          <w:szCs w:val="24"/>
        </w:rPr>
        <w:t xml:space="preserve">u iznosu od </w:t>
      </w:r>
      <w:r w:rsidR="0072002B" w:rsidRPr="00700CDD">
        <w:rPr>
          <w:rFonts w:ascii="Times New Roman" w:hAnsi="Times New Roman"/>
          <w:sz w:val="24"/>
          <w:szCs w:val="24"/>
        </w:rPr>
        <w:t>958.181,46</w:t>
      </w:r>
      <w:r w:rsidR="007D43B3" w:rsidRPr="00700CDD">
        <w:rPr>
          <w:rFonts w:ascii="Times New Roman" w:hAnsi="Times New Roman"/>
          <w:sz w:val="24"/>
          <w:szCs w:val="24"/>
        </w:rPr>
        <w:t xml:space="preserve"> eura</w:t>
      </w:r>
      <w:r w:rsidR="0080529D" w:rsidRPr="00700CDD">
        <w:rPr>
          <w:rFonts w:ascii="Times New Roman" w:hAnsi="Times New Roman"/>
          <w:sz w:val="24"/>
          <w:szCs w:val="24"/>
        </w:rPr>
        <w:t xml:space="preserve"> koja će se utrošiti za rashode poslovanja i rashode za nabavu nefinancijske imovine sukladno financijskom planu Fakulteta,</w:t>
      </w:r>
      <w:r w:rsidR="007D43B3" w:rsidRPr="00700CDD">
        <w:rPr>
          <w:rFonts w:ascii="Times New Roman" w:hAnsi="Times New Roman"/>
          <w:sz w:val="24"/>
          <w:szCs w:val="24"/>
        </w:rPr>
        <w:t xml:space="preserve"> </w:t>
      </w:r>
      <w:r w:rsidR="00C13A9C" w:rsidRPr="00700CDD">
        <w:rPr>
          <w:rFonts w:ascii="Times New Roman" w:hAnsi="Times New Roman"/>
          <w:sz w:val="24"/>
          <w:szCs w:val="24"/>
        </w:rPr>
        <w:t xml:space="preserve">vlastitih prihoda u iznosu od </w:t>
      </w:r>
      <w:r w:rsidR="00CC550F" w:rsidRPr="00700CDD">
        <w:rPr>
          <w:rFonts w:ascii="Times New Roman" w:hAnsi="Times New Roman"/>
          <w:sz w:val="24"/>
          <w:szCs w:val="24"/>
        </w:rPr>
        <w:t xml:space="preserve">1.369,76 eura, </w:t>
      </w:r>
      <w:r w:rsidR="007D43B3" w:rsidRPr="00700CDD">
        <w:rPr>
          <w:rFonts w:ascii="Times New Roman" w:hAnsi="Times New Roman"/>
          <w:sz w:val="24"/>
          <w:szCs w:val="24"/>
        </w:rPr>
        <w:t>sredstva Agencije za mobilnost i programe EU za provedbu Eras</w:t>
      </w:r>
      <w:r w:rsidR="00EA45DF" w:rsidRPr="00700CDD">
        <w:rPr>
          <w:rFonts w:ascii="Times New Roman" w:hAnsi="Times New Roman"/>
          <w:sz w:val="24"/>
          <w:szCs w:val="24"/>
        </w:rPr>
        <w:t>m</w:t>
      </w:r>
      <w:r w:rsidR="007D43B3" w:rsidRPr="00700CDD">
        <w:rPr>
          <w:rFonts w:ascii="Times New Roman" w:hAnsi="Times New Roman"/>
          <w:sz w:val="24"/>
          <w:szCs w:val="24"/>
        </w:rPr>
        <w:t xml:space="preserve">us + programa </w:t>
      </w:r>
      <w:r w:rsidR="003E68D9" w:rsidRPr="00700CDD">
        <w:rPr>
          <w:rFonts w:ascii="Times New Roman" w:hAnsi="Times New Roman"/>
          <w:sz w:val="24"/>
          <w:szCs w:val="24"/>
        </w:rPr>
        <w:t xml:space="preserve">u iznosu od </w:t>
      </w:r>
      <w:r w:rsidR="001853BA" w:rsidRPr="00700CDD">
        <w:rPr>
          <w:rFonts w:ascii="Times New Roman" w:hAnsi="Times New Roman"/>
          <w:sz w:val="24"/>
          <w:szCs w:val="24"/>
        </w:rPr>
        <w:t>80.</w:t>
      </w:r>
      <w:r w:rsidR="002659D4" w:rsidRPr="00700CDD">
        <w:rPr>
          <w:rFonts w:ascii="Times New Roman" w:hAnsi="Times New Roman"/>
          <w:sz w:val="24"/>
          <w:szCs w:val="24"/>
        </w:rPr>
        <w:t>179,07</w:t>
      </w:r>
      <w:r w:rsidR="003E68D9" w:rsidRPr="00700CDD">
        <w:rPr>
          <w:rFonts w:ascii="Times New Roman" w:hAnsi="Times New Roman"/>
          <w:sz w:val="24"/>
          <w:szCs w:val="24"/>
        </w:rPr>
        <w:t xml:space="preserve"> eura</w:t>
      </w:r>
      <w:r w:rsidR="002659D4" w:rsidRPr="00700CDD">
        <w:rPr>
          <w:rFonts w:ascii="Times New Roman" w:hAnsi="Times New Roman"/>
          <w:sz w:val="24"/>
          <w:szCs w:val="24"/>
        </w:rPr>
        <w:t xml:space="preserve">, </w:t>
      </w:r>
      <w:r w:rsidR="0080529D" w:rsidRPr="00700CDD">
        <w:rPr>
          <w:rFonts w:ascii="Times New Roman" w:hAnsi="Times New Roman"/>
          <w:sz w:val="24"/>
          <w:szCs w:val="24"/>
        </w:rPr>
        <w:t>sredstva</w:t>
      </w:r>
      <w:r w:rsidR="00184A3C" w:rsidRPr="00700CDD">
        <w:rPr>
          <w:rFonts w:ascii="Times New Roman" w:hAnsi="Times New Roman"/>
          <w:sz w:val="24"/>
          <w:szCs w:val="24"/>
        </w:rPr>
        <w:t xml:space="preserve"> </w:t>
      </w:r>
      <w:r w:rsidR="0080529D" w:rsidRPr="00700CDD">
        <w:rPr>
          <w:rFonts w:ascii="Times New Roman" w:hAnsi="Times New Roman"/>
          <w:sz w:val="24"/>
          <w:szCs w:val="24"/>
        </w:rPr>
        <w:t>Ministarstv</w:t>
      </w:r>
      <w:r w:rsidR="00184A3C" w:rsidRPr="00700CDD">
        <w:rPr>
          <w:rFonts w:ascii="Times New Roman" w:hAnsi="Times New Roman"/>
          <w:sz w:val="24"/>
          <w:szCs w:val="24"/>
        </w:rPr>
        <w:t>a</w:t>
      </w:r>
      <w:r w:rsidR="0080529D" w:rsidRPr="00700CDD">
        <w:rPr>
          <w:rFonts w:ascii="Times New Roman" w:hAnsi="Times New Roman"/>
          <w:sz w:val="24"/>
          <w:szCs w:val="24"/>
        </w:rPr>
        <w:t xml:space="preserve"> poljoprivrede</w:t>
      </w:r>
      <w:r w:rsidR="00694526" w:rsidRPr="00700CDD">
        <w:rPr>
          <w:rFonts w:ascii="Times New Roman" w:hAnsi="Times New Roman"/>
          <w:sz w:val="24"/>
          <w:szCs w:val="24"/>
        </w:rPr>
        <w:t>, šumarstva i ribarstva</w:t>
      </w:r>
      <w:r w:rsidR="00184A3C" w:rsidRPr="00700CDD">
        <w:rPr>
          <w:rFonts w:ascii="Times New Roman" w:hAnsi="Times New Roman"/>
          <w:sz w:val="24"/>
          <w:szCs w:val="24"/>
        </w:rPr>
        <w:t xml:space="preserve"> </w:t>
      </w:r>
      <w:r w:rsidR="0015217A" w:rsidRPr="00700CDD">
        <w:rPr>
          <w:rFonts w:ascii="Times New Roman" w:hAnsi="Times New Roman"/>
          <w:sz w:val="24"/>
          <w:szCs w:val="24"/>
        </w:rPr>
        <w:t xml:space="preserve">u iznosu od </w:t>
      </w:r>
      <w:r w:rsidR="00A62FD3" w:rsidRPr="00700CDD">
        <w:rPr>
          <w:rFonts w:ascii="Times New Roman" w:hAnsi="Times New Roman"/>
          <w:sz w:val="24"/>
          <w:szCs w:val="24"/>
        </w:rPr>
        <w:t>19.908</w:t>
      </w:r>
      <w:r w:rsidR="00BB1B5D" w:rsidRPr="00700CDD">
        <w:rPr>
          <w:rFonts w:ascii="Times New Roman" w:hAnsi="Times New Roman"/>
          <w:sz w:val="24"/>
          <w:szCs w:val="24"/>
        </w:rPr>
        <w:t>,45</w:t>
      </w:r>
      <w:r w:rsidR="0015217A" w:rsidRPr="00700CDD">
        <w:rPr>
          <w:rFonts w:ascii="Times New Roman" w:hAnsi="Times New Roman"/>
          <w:sz w:val="24"/>
          <w:szCs w:val="24"/>
        </w:rPr>
        <w:t xml:space="preserve"> eura </w:t>
      </w:r>
      <w:r w:rsidR="0033546A" w:rsidRPr="00700CDD">
        <w:rPr>
          <w:rFonts w:ascii="Times New Roman" w:hAnsi="Times New Roman"/>
          <w:sz w:val="24"/>
          <w:szCs w:val="24"/>
        </w:rPr>
        <w:t xml:space="preserve">za </w:t>
      </w:r>
      <w:r w:rsidR="000975A9" w:rsidRPr="00700CDD">
        <w:rPr>
          <w:rFonts w:ascii="Times New Roman" w:hAnsi="Times New Roman"/>
          <w:sz w:val="24"/>
          <w:szCs w:val="24"/>
        </w:rPr>
        <w:t>s</w:t>
      </w:r>
      <w:r w:rsidR="0080529D" w:rsidRPr="00700CDD">
        <w:rPr>
          <w:rFonts w:ascii="Times New Roman" w:hAnsi="Times New Roman"/>
          <w:sz w:val="24"/>
          <w:szCs w:val="24"/>
        </w:rPr>
        <w:t>tipendi</w:t>
      </w:r>
      <w:r w:rsidR="000975A9" w:rsidRPr="00700CDD">
        <w:rPr>
          <w:rFonts w:ascii="Times New Roman" w:hAnsi="Times New Roman"/>
          <w:sz w:val="24"/>
          <w:szCs w:val="24"/>
        </w:rPr>
        <w:t>ranje</w:t>
      </w:r>
      <w:r w:rsidR="00184A3C" w:rsidRPr="00700CDD">
        <w:rPr>
          <w:rFonts w:ascii="Times New Roman" w:hAnsi="Times New Roman"/>
          <w:sz w:val="24"/>
          <w:szCs w:val="24"/>
        </w:rPr>
        <w:t xml:space="preserve"> </w:t>
      </w:r>
      <w:r w:rsidR="0080529D" w:rsidRPr="00700CDD">
        <w:rPr>
          <w:rFonts w:ascii="Times New Roman" w:hAnsi="Times New Roman"/>
          <w:sz w:val="24"/>
          <w:szCs w:val="24"/>
        </w:rPr>
        <w:t>studen</w:t>
      </w:r>
      <w:r w:rsidR="000975A9" w:rsidRPr="00700CDD">
        <w:rPr>
          <w:rFonts w:ascii="Times New Roman" w:hAnsi="Times New Roman"/>
          <w:sz w:val="24"/>
          <w:szCs w:val="24"/>
        </w:rPr>
        <w:t>a</w:t>
      </w:r>
      <w:r w:rsidR="00105425" w:rsidRPr="00700CDD">
        <w:rPr>
          <w:rFonts w:ascii="Times New Roman" w:hAnsi="Times New Roman"/>
          <w:sz w:val="24"/>
          <w:szCs w:val="24"/>
        </w:rPr>
        <w:t>ta</w:t>
      </w:r>
      <w:r w:rsidR="00EA062D" w:rsidRPr="00700CDD">
        <w:rPr>
          <w:rFonts w:ascii="Times New Roman" w:hAnsi="Times New Roman"/>
          <w:sz w:val="24"/>
          <w:szCs w:val="24"/>
        </w:rPr>
        <w:t>,</w:t>
      </w:r>
      <w:r w:rsidR="00E72762" w:rsidRPr="00700CDD">
        <w:rPr>
          <w:rFonts w:ascii="Times New Roman" w:hAnsi="Times New Roman"/>
          <w:sz w:val="24"/>
          <w:szCs w:val="24"/>
        </w:rPr>
        <w:t xml:space="preserve"> </w:t>
      </w:r>
      <w:r w:rsidR="00EA062D" w:rsidRPr="00700CDD">
        <w:rPr>
          <w:rFonts w:ascii="Times New Roman" w:hAnsi="Times New Roman"/>
          <w:sz w:val="24"/>
          <w:szCs w:val="24"/>
        </w:rPr>
        <w:t>sredstva u iznosu od 1</w:t>
      </w:r>
      <w:r w:rsidR="007B1BB4" w:rsidRPr="00700CDD">
        <w:rPr>
          <w:rFonts w:ascii="Times New Roman" w:hAnsi="Times New Roman"/>
          <w:sz w:val="24"/>
          <w:szCs w:val="24"/>
        </w:rPr>
        <w:t>8.273,59</w:t>
      </w:r>
      <w:r w:rsidR="00EA062D" w:rsidRPr="00700CDD">
        <w:rPr>
          <w:rFonts w:ascii="Times New Roman" w:hAnsi="Times New Roman"/>
          <w:sz w:val="24"/>
          <w:szCs w:val="24"/>
        </w:rPr>
        <w:t xml:space="preserve"> eura od projekta Panonika, sredstva </w:t>
      </w:r>
      <w:r w:rsidR="007B1BB4" w:rsidRPr="00700CDD">
        <w:rPr>
          <w:rFonts w:ascii="Times New Roman" w:hAnsi="Times New Roman"/>
          <w:sz w:val="24"/>
          <w:szCs w:val="24"/>
        </w:rPr>
        <w:t xml:space="preserve">u iznosu od </w:t>
      </w:r>
      <w:r w:rsidR="0088605F" w:rsidRPr="00700CDD">
        <w:rPr>
          <w:rFonts w:ascii="Times New Roman" w:hAnsi="Times New Roman"/>
          <w:sz w:val="24"/>
          <w:szCs w:val="24"/>
        </w:rPr>
        <w:lastRenderedPageBreak/>
        <w:t xml:space="preserve">21.665,95 eura </w:t>
      </w:r>
      <w:r w:rsidR="00EA062D" w:rsidRPr="00700CDD">
        <w:rPr>
          <w:rFonts w:ascii="Times New Roman" w:hAnsi="Times New Roman"/>
          <w:sz w:val="24"/>
          <w:szCs w:val="24"/>
        </w:rPr>
        <w:t>od projekta Hrvatske agencije za poljoprivredu i hranu</w:t>
      </w:r>
      <w:r w:rsidR="0088605F" w:rsidRPr="00700CDD">
        <w:rPr>
          <w:rFonts w:ascii="Times New Roman" w:hAnsi="Times New Roman"/>
          <w:sz w:val="24"/>
          <w:szCs w:val="24"/>
        </w:rPr>
        <w:t xml:space="preserve"> te </w:t>
      </w:r>
      <w:r w:rsidR="00E5445A" w:rsidRPr="00700CDD">
        <w:rPr>
          <w:rFonts w:ascii="Times New Roman" w:hAnsi="Times New Roman"/>
          <w:sz w:val="24"/>
          <w:szCs w:val="24"/>
        </w:rPr>
        <w:t>sredstva u iznosu od 4.560,08 eura od Agencije za plaćanja u poljoprivredi, ribarstvu i ruralnom razvoju</w:t>
      </w:r>
      <w:r w:rsidR="002723EB">
        <w:rPr>
          <w:rFonts w:ascii="Times New Roman" w:hAnsi="Times New Roman"/>
          <w:sz w:val="24"/>
          <w:szCs w:val="24"/>
        </w:rPr>
        <w:t>.</w:t>
      </w:r>
    </w:p>
    <w:p w14:paraId="114BBC95" w14:textId="140A9534" w:rsidR="00AF0788" w:rsidRPr="00700CDD" w:rsidRDefault="00AF0788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0CDD">
        <w:rPr>
          <w:rFonts w:ascii="Times New Roman" w:hAnsi="Times New Roman"/>
          <w:sz w:val="24"/>
          <w:szCs w:val="24"/>
        </w:rPr>
        <w:t>Sredstva koja se planiraju prenijeti u sljedeć</w:t>
      </w:r>
      <w:r w:rsidR="00DD6033" w:rsidRPr="00700CDD">
        <w:rPr>
          <w:rFonts w:ascii="Times New Roman" w:hAnsi="Times New Roman"/>
          <w:sz w:val="24"/>
          <w:szCs w:val="24"/>
        </w:rPr>
        <w:t>e</w:t>
      </w:r>
      <w:r w:rsidRPr="00700CDD">
        <w:rPr>
          <w:rFonts w:ascii="Times New Roman" w:hAnsi="Times New Roman"/>
          <w:sz w:val="24"/>
          <w:szCs w:val="24"/>
        </w:rPr>
        <w:t xml:space="preserve"> </w:t>
      </w:r>
      <w:r w:rsidR="00DD6033" w:rsidRPr="00700CDD">
        <w:rPr>
          <w:rFonts w:ascii="Times New Roman" w:hAnsi="Times New Roman"/>
          <w:sz w:val="24"/>
          <w:szCs w:val="24"/>
        </w:rPr>
        <w:t>razdoblje</w:t>
      </w:r>
      <w:r w:rsidRPr="00700CDD">
        <w:rPr>
          <w:rFonts w:ascii="Times New Roman" w:hAnsi="Times New Roman"/>
          <w:sz w:val="24"/>
          <w:szCs w:val="24"/>
        </w:rPr>
        <w:t xml:space="preserve"> (odnos) </w:t>
      </w:r>
      <w:r w:rsidR="001B185C" w:rsidRPr="00700CDD">
        <w:rPr>
          <w:rFonts w:ascii="Times New Roman" w:hAnsi="Times New Roman"/>
          <w:sz w:val="24"/>
          <w:szCs w:val="24"/>
        </w:rPr>
        <w:t xml:space="preserve">iznose </w:t>
      </w:r>
      <w:r w:rsidR="00687D77" w:rsidRPr="00700CDD">
        <w:rPr>
          <w:rFonts w:ascii="Times New Roman" w:hAnsi="Times New Roman"/>
          <w:sz w:val="24"/>
          <w:szCs w:val="24"/>
        </w:rPr>
        <w:t>510.993</w:t>
      </w:r>
      <w:r w:rsidR="001B185C" w:rsidRPr="00700CDD">
        <w:rPr>
          <w:rFonts w:ascii="Times New Roman" w:hAnsi="Times New Roman"/>
          <w:sz w:val="24"/>
          <w:szCs w:val="24"/>
        </w:rPr>
        <w:t xml:space="preserve"> eura a </w:t>
      </w:r>
      <w:r w:rsidRPr="00700CDD">
        <w:rPr>
          <w:rFonts w:ascii="Times New Roman" w:hAnsi="Times New Roman"/>
          <w:sz w:val="24"/>
          <w:szCs w:val="24"/>
        </w:rPr>
        <w:t xml:space="preserve">odnose se na </w:t>
      </w:r>
      <w:r w:rsidR="001B185C" w:rsidRPr="00700CDD">
        <w:rPr>
          <w:rFonts w:ascii="Times New Roman" w:hAnsi="Times New Roman"/>
          <w:sz w:val="24"/>
          <w:szCs w:val="24"/>
        </w:rPr>
        <w:t xml:space="preserve">neutrošena sredstva prihoda za posebne namjene </w:t>
      </w:r>
      <w:r w:rsidR="000617CB" w:rsidRPr="00700CDD">
        <w:rPr>
          <w:rFonts w:ascii="Times New Roman" w:hAnsi="Times New Roman"/>
          <w:sz w:val="24"/>
          <w:szCs w:val="24"/>
        </w:rPr>
        <w:t xml:space="preserve">u iznosu od </w:t>
      </w:r>
      <w:r w:rsidR="00687D77" w:rsidRPr="00700CDD">
        <w:rPr>
          <w:rFonts w:ascii="Times New Roman" w:hAnsi="Times New Roman"/>
          <w:sz w:val="24"/>
          <w:szCs w:val="24"/>
        </w:rPr>
        <w:t>384.324 eura</w:t>
      </w:r>
      <w:r w:rsidR="000617CB" w:rsidRPr="00700CDD">
        <w:rPr>
          <w:rFonts w:ascii="Times New Roman" w:hAnsi="Times New Roman"/>
          <w:sz w:val="24"/>
          <w:szCs w:val="24"/>
        </w:rPr>
        <w:t xml:space="preserve"> koja</w:t>
      </w:r>
      <w:r w:rsidR="001B185C" w:rsidRPr="00700CDD">
        <w:rPr>
          <w:rFonts w:ascii="Times New Roman" w:hAnsi="Times New Roman"/>
          <w:sz w:val="24"/>
          <w:szCs w:val="24"/>
        </w:rPr>
        <w:t xml:space="preserve"> će se utrošiti za rashode poslovanja</w:t>
      </w:r>
      <w:r w:rsidR="007D75CB" w:rsidRPr="00700CDD">
        <w:rPr>
          <w:rFonts w:ascii="Times New Roman" w:hAnsi="Times New Roman"/>
          <w:sz w:val="24"/>
          <w:szCs w:val="24"/>
        </w:rPr>
        <w:t xml:space="preserve"> i rashode za nabavu nefinancijske imovine</w:t>
      </w:r>
      <w:r w:rsidR="001B185C" w:rsidRPr="00700CDD">
        <w:rPr>
          <w:rFonts w:ascii="Times New Roman" w:hAnsi="Times New Roman"/>
          <w:sz w:val="24"/>
          <w:szCs w:val="24"/>
        </w:rPr>
        <w:t xml:space="preserve"> sukladno financijskom planu Fakulteta</w:t>
      </w:r>
      <w:r w:rsidR="000617CB" w:rsidRPr="00700CDD">
        <w:rPr>
          <w:rFonts w:ascii="Times New Roman" w:hAnsi="Times New Roman"/>
          <w:sz w:val="24"/>
          <w:szCs w:val="24"/>
        </w:rPr>
        <w:t>, vlastitih pri</w:t>
      </w:r>
      <w:r w:rsidR="004E205D" w:rsidRPr="00700CDD">
        <w:rPr>
          <w:rFonts w:ascii="Times New Roman" w:hAnsi="Times New Roman"/>
          <w:sz w:val="24"/>
          <w:szCs w:val="24"/>
        </w:rPr>
        <w:t>hoda u iznosu od 8.500 eura,</w:t>
      </w:r>
      <w:r w:rsidR="00F73D0E" w:rsidRPr="00700CDD">
        <w:rPr>
          <w:rFonts w:ascii="Times New Roman" w:hAnsi="Times New Roman"/>
          <w:sz w:val="24"/>
          <w:szCs w:val="24"/>
        </w:rPr>
        <w:t xml:space="preserve"> sredstva </w:t>
      </w:r>
      <w:r w:rsidR="001828E1" w:rsidRPr="00700CDD">
        <w:rPr>
          <w:rFonts w:ascii="Times New Roman" w:hAnsi="Times New Roman"/>
          <w:sz w:val="24"/>
          <w:szCs w:val="24"/>
        </w:rPr>
        <w:t xml:space="preserve">Agencije za mobilnost i programe EU </w:t>
      </w:r>
      <w:r w:rsidR="00B24212" w:rsidRPr="00700CDD">
        <w:rPr>
          <w:rFonts w:ascii="Times New Roman" w:hAnsi="Times New Roman"/>
          <w:sz w:val="24"/>
          <w:szCs w:val="24"/>
        </w:rPr>
        <w:t>od</w:t>
      </w:r>
      <w:r w:rsidR="001828E1" w:rsidRPr="00700CDD">
        <w:rPr>
          <w:rFonts w:ascii="Times New Roman" w:hAnsi="Times New Roman"/>
          <w:sz w:val="24"/>
          <w:szCs w:val="24"/>
        </w:rPr>
        <w:t xml:space="preserve"> Erasmus + programa u iznosu od </w:t>
      </w:r>
      <w:r w:rsidR="00351BF0" w:rsidRPr="00700CDD">
        <w:rPr>
          <w:rFonts w:ascii="Times New Roman" w:hAnsi="Times New Roman"/>
          <w:sz w:val="24"/>
          <w:szCs w:val="24"/>
        </w:rPr>
        <w:t>65.120</w:t>
      </w:r>
      <w:r w:rsidR="001828E1" w:rsidRPr="00700CDD">
        <w:rPr>
          <w:rFonts w:ascii="Times New Roman" w:hAnsi="Times New Roman"/>
          <w:sz w:val="24"/>
          <w:szCs w:val="24"/>
        </w:rPr>
        <w:t xml:space="preserve"> eura</w:t>
      </w:r>
      <w:r w:rsidR="000138D1" w:rsidRPr="00700CDD">
        <w:rPr>
          <w:rFonts w:ascii="Times New Roman" w:hAnsi="Times New Roman"/>
          <w:sz w:val="24"/>
          <w:szCs w:val="24"/>
        </w:rPr>
        <w:t>, sredstva u iznosu od 10.940 eura od projekta Hrvatske agencije za poljoprivredu i hranu</w:t>
      </w:r>
      <w:r w:rsidR="00590F59" w:rsidRPr="00700CDD">
        <w:rPr>
          <w:rFonts w:ascii="Times New Roman" w:hAnsi="Times New Roman"/>
          <w:sz w:val="24"/>
          <w:szCs w:val="24"/>
        </w:rPr>
        <w:t xml:space="preserve">, sredstva Hrvatske zaklade za znanost u iznosu od </w:t>
      </w:r>
      <w:r w:rsidR="00E63916" w:rsidRPr="00700CDD">
        <w:rPr>
          <w:rFonts w:ascii="Times New Roman" w:hAnsi="Times New Roman"/>
          <w:sz w:val="24"/>
          <w:szCs w:val="24"/>
        </w:rPr>
        <w:t>32.780 eura,</w:t>
      </w:r>
      <w:r w:rsidR="00361C81" w:rsidRPr="00700CDD">
        <w:rPr>
          <w:rFonts w:ascii="Times New Roman" w:hAnsi="Times New Roman"/>
          <w:sz w:val="24"/>
          <w:szCs w:val="24"/>
        </w:rPr>
        <w:t xml:space="preserve"> sredstva u iznosu od 1.529 eura za provedbu projekta Inkluzivnost kroz prehranu</w:t>
      </w:r>
      <w:r w:rsidR="00E63916" w:rsidRPr="00700CDD">
        <w:rPr>
          <w:rFonts w:ascii="Times New Roman" w:hAnsi="Times New Roman"/>
          <w:sz w:val="24"/>
          <w:szCs w:val="24"/>
        </w:rPr>
        <w:t xml:space="preserve"> te sredstva iz Mehanizma za oporavak i otpornost za NPOO projekte u iznosu od </w:t>
      </w:r>
      <w:r w:rsidR="00FD4FB6" w:rsidRPr="00700CDD">
        <w:rPr>
          <w:rFonts w:ascii="Times New Roman" w:hAnsi="Times New Roman"/>
          <w:sz w:val="24"/>
          <w:szCs w:val="24"/>
        </w:rPr>
        <w:t>7.800 eura</w:t>
      </w:r>
      <w:r w:rsidR="00346270" w:rsidRPr="00700CDD">
        <w:rPr>
          <w:rFonts w:ascii="Times New Roman" w:hAnsi="Times New Roman"/>
          <w:sz w:val="24"/>
          <w:szCs w:val="24"/>
        </w:rPr>
        <w:t>.</w:t>
      </w:r>
    </w:p>
    <w:p w14:paraId="6B5B3C4A" w14:textId="7AC6AFA7" w:rsidR="00CD1797" w:rsidRPr="00700CDD" w:rsidRDefault="00CD1797" w:rsidP="00810972">
      <w:pPr>
        <w:spacing w:after="200" w:line="276" w:lineRule="auto"/>
        <w:ind w:left="360"/>
        <w:rPr>
          <w:rFonts w:ascii="Times New Roman" w:hAnsi="Times New Roman"/>
          <w:b/>
          <w:sz w:val="24"/>
          <w:szCs w:val="24"/>
        </w:rPr>
      </w:pPr>
      <w:r w:rsidRPr="00700CDD">
        <w:rPr>
          <w:rFonts w:ascii="Times New Roman" w:hAnsi="Times New Roman"/>
          <w:b/>
          <w:sz w:val="24"/>
          <w:szCs w:val="24"/>
        </w:rPr>
        <w:t>UKUPN</w:t>
      </w:r>
      <w:r w:rsidR="00810972" w:rsidRPr="00700CDD">
        <w:rPr>
          <w:rFonts w:ascii="Times New Roman" w:hAnsi="Times New Roman"/>
          <w:b/>
          <w:sz w:val="24"/>
          <w:szCs w:val="24"/>
        </w:rPr>
        <w:t>E</w:t>
      </w:r>
      <w:r w:rsidRPr="00700CDD">
        <w:rPr>
          <w:rFonts w:ascii="Times New Roman" w:hAnsi="Times New Roman"/>
          <w:b/>
          <w:sz w:val="24"/>
          <w:szCs w:val="24"/>
        </w:rPr>
        <w:t xml:space="preserve"> I DOSPJEL</w:t>
      </w:r>
      <w:r w:rsidR="00810972" w:rsidRPr="00700CDD">
        <w:rPr>
          <w:rFonts w:ascii="Times New Roman" w:hAnsi="Times New Roman"/>
          <w:b/>
          <w:sz w:val="24"/>
          <w:szCs w:val="24"/>
        </w:rPr>
        <w:t>E</w:t>
      </w:r>
      <w:r w:rsidRPr="00700CDD">
        <w:rPr>
          <w:rFonts w:ascii="Times New Roman" w:hAnsi="Times New Roman"/>
          <w:b/>
          <w:sz w:val="24"/>
          <w:szCs w:val="24"/>
        </w:rPr>
        <w:t xml:space="preserve"> OBVEZ</w:t>
      </w:r>
      <w:r w:rsidR="00810972" w:rsidRPr="00700CDD">
        <w:rPr>
          <w:rFonts w:ascii="Times New Roman" w:hAnsi="Times New Roman"/>
          <w:b/>
          <w:sz w:val="24"/>
          <w:szCs w:val="24"/>
        </w:rPr>
        <w:t>E</w:t>
      </w:r>
    </w:p>
    <w:p w14:paraId="4077D111" w14:textId="6B2C1C91" w:rsidR="00294E9B" w:rsidRPr="00700CDD" w:rsidRDefault="00294E9B" w:rsidP="00294E9B">
      <w:pPr>
        <w:spacing w:after="200" w:line="276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700CDD">
        <w:rPr>
          <w:rFonts w:ascii="Times New Roman" w:hAnsi="Times New Roman"/>
          <w:bCs/>
          <w:sz w:val="24"/>
          <w:szCs w:val="24"/>
        </w:rPr>
        <w:t>Stanje ukupnih i dospjelih obveza sa stanjem na dan 31.12.202</w:t>
      </w:r>
      <w:r w:rsidR="00AE576D" w:rsidRPr="00700CDD">
        <w:rPr>
          <w:rFonts w:ascii="Times New Roman" w:hAnsi="Times New Roman"/>
          <w:bCs/>
          <w:sz w:val="24"/>
          <w:szCs w:val="24"/>
        </w:rPr>
        <w:t>4</w:t>
      </w:r>
      <w:r w:rsidRPr="00700CDD">
        <w:rPr>
          <w:rFonts w:ascii="Times New Roman" w:hAnsi="Times New Roman"/>
          <w:bCs/>
          <w:sz w:val="24"/>
          <w:szCs w:val="24"/>
        </w:rPr>
        <w:t>. odnosno 30.06.202</w:t>
      </w:r>
      <w:r w:rsidR="00AE576D" w:rsidRPr="00700CDD">
        <w:rPr>
          <w:rFonts w:ascii="Times New Roman" w:hAnsi="Times New Roman"/>
          <w:bCs/>
          <w:sz w:val="24"/>
          <w:szCs w:val="24"/>
        </w:rPr>
        <w:t>5</w:t>
      </w:r>
      <w:r w:rsidRPr="00700CDD">
        <w:rPr>
          <w:rFonts w:ascii="Times New Roman" w:hAnsi="Times New Roman"/>
          <w:bCs/>
          <w:sz w:val="24"/>
          <w:szCs w:val="24"/>
        </w:rPr>
        <w:t>. godine prikazano je u sljedećoj tablici:</w:t>
      </w:r>
    </w:p>
    <w:tbl>
      <w:tblPr>
        <w:tblStyle w:val="Reetkatablice"/>
        <w:tblW w:w="8911" w:type="dxa"/>
        <w:tblInd w:w="243" w:type="dxa"/>
        <w:tblLook w:val="04A0" w:firstRow="1" w:lastRow="0" w:firstColumn="1" w:lastColumn="0" w:noHBand="0" w:noVBand="1"/>
      </w:tblPr>
      <w:tblGrid>
        <w:gridCol w:w="1823"/>
        <w:gridCol w:w="3544"/>
        <w:gridCol w:w="3544"/>
      </w:tblGrid>
      <w:tr w:rsidR="00700CDD" w:rsidRPr="00700CDD" w14:paraId="3362C821" w14:textId="77777777" w:rsidTr="00294E9B">
        <w:tc>
          <w:tcPr>
            <w:tcW w:w="1823" w:type="dxa"/>
          </w:tcPr>
          <w:p w14:paraId="2624D872" w14:textId="77777777" w:rsidR="00DB4CF9" w:rsidRPr="00700CDD" w:rsidRDefault="00DB4CF9" w:rsidP="00F476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E90671A" w14:textId="62779687" w:rsidR="00DB4CF9" w:rsidRPr="00700CDD" w:rsidRDefault="00DB4CF9" w:rsidP="00F476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DD">
              <w:rPr>
                <w:rFonts w:ascii="Times New Roman" w:hAnsi="Times New Roman"/>
                <w:sz w:val="24"/>
                <w:szCs w:val="24"/>
              </w:rPr>
              <w:t>Stanje obveza na dan 31.12.202</w:t>
            </w:r>
            <w:r w:rsidR="00395D14" w:rsidRPr="00700CDD">
              <w:rPr>
                <w:rFonts w:ascii="Times New Roman" w:hAnsi="Times New Roman"/>
                <w:sz w:val="24"/>
                <w:szCs w:val="24"/>
              </w:rPr>
              <w:t>4</w:t>
            </w:r>
            <w:r w:rsidRPr="00700C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34D03A8B" w14:textId="63ED2CD7" w:rsidR="00DB4CF9" w:rsidRPr="00700CDD" w:rsidRDefault="00DB4CF9" w:rsidP="00F476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DD">
              <w:rPr>
                <w:rFonts w:ascii="Times New Roman" w:hAnsi="Times New Roman"/>
                <w:sz w:val="24"/>
                <w:szCs w:val="24"/>
              </w:rPr>
              <w:t>Stanje obveza na dan 30.06.202</w:t>
            </w:r>
            <w:r w:rsidR="00395D14" w:rsidRPr="00700CDD">
              <w:rPr>
                <w:rFonts w:ascii="Times New Roman" w:hAnsi="Times New Roman"/>
                <w:sz w:val="24"/>
                <w:szCs w:val="24"/>
              </w:rPr>
              <w:t>5</w:t>
            </w:r>
            <w:r w:rsidRPr="00700C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00CDD" w:rsidRPr="00700CDD" w14:paraId="46704D28" w14:textId="77777777" w:rsidTr="00294E9B">
        <w:tc>
          <w:tcPr>
            <w:tcW w:w="1823" w:type="dxa"/>
          </w:tcPr>
          <w:p w14:paraId="6FA46776" w14:textId="77777777" w:rsidR="00DB4CF9" w:rsidRPr="00700CDD" w:rsidRDefault="00DB4CF9" w:rsidP="00F476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DD">
              <w:rPr>
                <w:rFonts w:ascii="Times New Roman" w:hAnsi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11221308" w14:textId="1A79651F" w:rsidR="00DB4CF9" w:rsidRPr="00700CDD" w:rsidRDefault="00D71399" w:rsidP="00C21C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CDD">
              <w:rPr>
                <w:rFonts w:ascii="Times New Roman" w:hAnsi="Times New Roman"/>
                <w:sz w:val="24"/>
                <w:szCs w:val="24"/>
              </w:rPr>
              <w:t>1</w:t>
            </w:r>
            <w:r w:rsidR="007D3B9E" w:rsidRPr="00700CDD">
              <w:rPr>
                <w:rFonts w:ascii="Times New Roman" w:hAnsi="Times New Roman"/>
                <w:sz w:val="24"/>
                <w:szCs w:val="24"/>
              </w:rPr>
              <w:t>76.344,70</w:t>
            </w:r>
            <w:r w:rsidR="007B5765" w:rsidRPr="00700CDD">
              <w:rPr>
                <w:rFonts w:ascii="Times New Roman" w:hAnsi="Times New Roman"/>
                <w:sz w:val="24"/>
                <w:szCs w:val="24"/>
              </w:rPr>
              <w:t xml:space="preserve"> eura</w:t>
            </w:r>
          </w:p>
        </w:tc>
        <w:tc>
          <w:tcPr>
            <w:tcW w:w="3544" w:type="dxa"/>
          </w:tcPr>
          <w:p w14:paraId="6340C271" w14:textId="2B83C6AD" w:rsidR="00DB4CF9" w:rsidRPr="00700CDD" w:rsidRDefault="00B409DB" w:rsidP="00C21C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CDD">
              <w:rPr>
                <w:rFonts w:ascii="Times New Roman" w:hAnsi="Times New Roman"/>
                <w:sz w:val="24"/>
                <w:szCs w:val="24"/>
              </w:rPr>
              <w:t>1</w:t>
            </w:r>
            <w:r w:rsidR="007D3B9E" w:rsidRPr="00700CDD">
              <w:rPr>
                <w:rFonts w:ascii="Times New Roman" w:hAnsi="Times New Roman"/>
                <w:sz w:val="24"/>
                <w:szCs w:val="24"/>
              </w:rPr>
              <w:t>78.617,26</w:t>
            </w:r>
            <w:r w:rsidR="007B5765" w:rsidRPr="00700CDD">
              <w:rPr>
                <w:rFonts w:ascii="Times New Roman" w:hAnsi="Times New Roman"/>
                <w:sz w:val="24"/>
                <w:szCs w:val="24"/>
              </w:rPr>
              <w:t xml:space="preserve"> eura</w:t>
            </w:r>
          </w:p>
        </w:tc>
      </w:tr>
      <w:tr w:rsidR="006A46FA" w:rsidRPr="00700CDD" w14:paraId="0777E865" w14:textId="77777777" w:rsidTr="00294E9B">
        <w:tc>
          <w:tcPr>
            <w:tcW w:w="1823" w:type="dxa"/>
          </w:tcPr>
          <w:p w14:paraId="5D4CC4C8" w14:textId="77777777" w:rsidR="00DB4CF9" w:rsidRPr="00700CDD" w:rsidRDefault="00DB4CF9" w:rsidP="00F476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DD">
              <w:rPr>
                <w:rFonts w:ascii="Times New Roman" w:hAnsi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652610E9" w14:textId="77777777" w:rsidR="00DB4CF9" w:rsidRPr="00700CDD" w:rsidRDefault="00371371" w:rsidP="00C21C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CD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544" w:type="dxa"/>
          </w:tcPr>
          <w:p w14:paraId="006395D6" w14:textId="77777777" w:rsidR="00DB4CF9" w:rsidRPr="00700CDD" w:rsidRDefault="00B70F4C" w:rsidP="00C21C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CD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14:paraId="1E1B2045" w14:textId="77777777" w:rsidR="00937485" w:rsidRPr="00700CDD" w:rsidRDefault="00937485" w:rsidP="00F47602">
      <w:pPr>
        <w:jc w:val="both"/>
        <w:rPr>
          <w:rFonts w:ascii="Times New Roman" w:hAnsi="Times New Roman"/>
          <w:b/>
          <w:sz w:val="24"/>
          <w:szCs w:val="24"/>
        </w:rPr>
      </w:pPr>
    </w:p>
    <w:p w14:paraId="70AE3550" w14:textId="3797D383" w:rsidR="006B5062" w:rsidRPr="00700CDD" w:rsidRDefault="006B5062" w:rsidP="006B5062">
      <w:pPr>
        <w:spacing w:after="200" w:line="276" w:lineRule="auto"/>
        <w:jc w:val="both"/>
        <w:rPr>
          <w:rFonts w:ascii="Times New Roman" w:hAnsi="Times New Roman"/>
          <w:sz w:val="24"/>
        </w:rPr>
      </w:pPr>
      <w:r w:rsidRPr="00700CDD">
        <w:tab/>
      </w:r>
      <w:r w:rsidRPr="00700CDD">
        <w:tab/>
      </w:r>
      <w:r w:rsidRPr="00700CDD">
        <w:tab/>
      </w:r>
      <w:r w:rsidRPr="00700CDD">
        <w:tab/>
      </w:r>
      <w:r w:rsidRPr="00700CDD">
        <w:tab/>
      </w:r>
      <w:r w:rsidRPr="00700CDD">
        <w:tab/>
      </w:r>
      <w:r w:rsidRPr="00700CDD">
        <w:rPr>
          <w:rFonts w:ascii="Times New Roman" w:hAnsi="Times New Roman"/>
          <w:sz w:val="24"/>
        </w:rPr>
        <w:tab/>
      </w:r>
      <w:r w:rsidRPr="00700CDD">
        <w:rPr>
          <w:rFonts w:ascii="Times New Roman" w:hAnsi="Times New Roman"/>
          <w:sz w:val="24"/>
        </w:rPr>
        <w:tab/>
      </w:r>
      <w:r w:rsidRPr="00700CDD">
        <w:rPr>
          <w:rFonts w:ascii="Times New Roman" w:hAnsi="Times New Roman"/>
          <w:sz w:val="24"/>
        </w:rPr>
        <w:tab/>
      </w:r>
      <w:r w:rsidRPr="00700CDD">
        <w:rPr>
          <w:rFonts w:ascii="Times New Roman" w:hAnsi="Times New Roman"/>
          <w:sz w:val="24"/>
        </w:rPr>
        <w:tab/>
      </w:r>
      <w:r w:rsidRPr="00700CDD">
        <w:rPr>
          <w:rFonts w:ascii="Times New Roman" w:hAnsi="Times New Roman"/>
          <w:sz w:val="24"/>
        </w:rPr>
        <w:tab/>
      </w:r>
      <w:r w:rsidRPr="00700CDD">
        <w:rPr>
          <w:rFonts w:ascii="Times New Roman" w:hAnsi="Times New Roman"/>
          <w:sz w:val="24"/>
        </w:rPr>
        <w:tab/>
      </w:r>
    </w:p>
    <w:p w14:paraId="66402E14" w14:textId="339B9241" w:rsidR="006B5062" w:rsidRPr="00700CDD" w:rsidRDefault="006B5062" w:rsidP="006B5062">
      <w:pPr>
        <w:spacing w:after="200" w:line="276" w:lineRule="auto"/>
        <w:jc w:val="both"/>
        <w:rPr>
          <w:rFonts w:ascii="Times New Roman" w:hAnsi="Times New Roman"/>
          <w:sz w:val="24"/>
        </w:rPr>
      </w:pPr>
      <w:r w:rsidRPr="00700CDD">
        <w:rPr>
          <w:rFonts w:ascii="Times New Roman" w:hAnsi="Times New Roman"/>
          <w:sz w:val="24"/>
        </w:rPr>
        <w:tab/>
      </w:r>
      <w:r w:rsidRPr="00700CDD">
        <w:rPr>
          <w:rFonts w:ascii="Times New Roman" w:hAnsi="Times New Roman"/>
          <w:sz w:val="24"/>
        </w:rPr>
        <w:tab/>
      </w:r>
      <w:r w:rsidRPr="00700CDD">
        <w:rPr>
          <w:rFonts w:ascii="Times New Roman" w:hAnsi="Times New Roman"/>
          <w:sz w:val="24"/>
        </w:rPr>
        <w:tab/>
      </w:r>
      <w:r w:rsidRPr="00700CDD">
        <w:rPr>
          <w:rFonts w:ascii="Times New Roman" w:hAnsi="Times New Roman"/>
          <w:sz w:val="24"/>
        </w:rPr>
        <w:tab/>
      </w:r>
      <w:r w:rsidRPr="00700CDD">
        <w:rPr>
          <w:rFonts w:ascii="Times New Roman" w:hAnsi="Times New Roman"/>
          <w:sz w:val="24"/>
        </w:rPr>
        <w:tab/>
      </w:r>
      <w:r w:rsidRPr="00700CDD">
        <w:rPr>
          <w:rFonts w:ascii="Times New Roman" w:hAnsi="Times New Roman"/>
          <w:sz w:val="24"/>
        </w:rPr>
        <w:tab/>
      </w:r>
      <w:r w:rsidRPr="00700CDD">
        <w:rPr>
          <w:rFonts w:ascii="Times New Roman" w:hAnsi="Times New Roman"/>
          <w:sz w:val="24"/>
        </w:rPr>
        <w:tab/>
        <w:t xml:space="preserve">      </w:t>
      </w:r>
      <w:r w:rsidR="00F82BBF" w:rsidRPr="00700CDD">
        <w:rPr>
          <w:rFonts w:ascii="Times New Roman" w:hAnsi="Times New Roman"/>
          <w:sz w:val="24"/>
        </w:rPr>
        <w:t xml:space="preserve">   </w:t>
      </w:r>
      <w:r w:rsidR="006A46FA" w:rsidRPr="00700CDD">
        <w:rPr>
          <w:rFonts w:ascii="Times New Roman" w:hAnsi="Times New Roman"/>
          <w:sz w:val="24"/>
        </w:rPr>
        <w:t>v.d. d</w:t>
      </w:r>
      <w:r w:rsidRPr="00700CDD">
        <w:rPr>
          <w:rFonts w:ascii="Times New Roman" w:hAnsi="Times New Roman"/>
          <w:sz w:val="24"/>
        </w:rPr>
        <w:t>ekan</w:t>
      </w:r>
      <w:r w:rsidR="006A46FA" w:rsidRPr="00700CDD">
        <w:rPr>
          <w:rFonts w:ascii="Times New Roman" w:hAnsi="Times New Roman"/>
          <w:sz w:val="24"/>
        </w:rPr>
        <w:t>a</w:t>
      </w:r>
    </w:p>
    <w:p w14:paraId="06A7609F" w14:textId="77777777" w:rsidR="0089109B" w:rsidRPr="00700CDD" w:rsidRDefault="0089109B" w:rsidP="006B5062">
      <w:pPr>
        <w:spacing w:after="200" w:line="276" w:lineRule="auto"/>
        <w:jc w:val="both"/>
        <w:rPr>
          <w:rFonts w:ascii="Times New Roman" w:hAnsi="Times New Roman"/>
          <w:sz w:val="24"/>
        </w:rPr>
      </w:pPr>
    </w:p>
    <w:p w14:paraId="4BD15A53" w14:textId="610AD3EA" w:rsidR="00105FC1" w:rsidRPr="00700CDD" w:rsidRDefault="006B5062">
      <w:r w:rsidRPr="00700CDD">
        <w:rPr>
          <w:rFonts w:ascii="Times New Roman" w:hAnsi="Times New Roman"/>
          <w:sz w:val="24"/>
        </w:rPr>
        <w:t xml:space="preserve">       </w:t>
      </w:r>
      <w:r w:rsidRPr="00700CDD">
        <w:rPr>
          <w:rFonts w:ascii="Times New Roman" w:hAnsi="Times New Roman"/>
          <w:sz w:val="24"/>
        </w:rPr>
        <w:tab/>
      </w:r>
      <w:r w:rsidRPr="00700CDD">
        <w:rPr>
          <w:rFonts w:ascii="Times New Roman" w:hAnsi="Times New Roman"/>
          <w:sz w:val="24"/>
        </w:rPr>
        <w:tab/>
      </w:r>
      <w:r w:rsidRPr="00700CDD">
        <w:rPr>
          <w:rFonts w:ascii="Times New Roman" w:hAnsi="Times New Roman"/>
          <w:sz w:val="24"/>
        </w:rPr>
        <w:tab/>
      </w:r>
      <w:r w:rsidRPr="00700CDD">
        <w:rPr>
          <w:rFonts w:ascii="Times New Roman" w:hAnsi="Times New Roman"/>
          <w:sz w:val="24"/>
        </w:rPr>
        <w:tab/>
      </w:r>
      <w:r w:rsidRPr="00700CDD">
        <w:rPr>
          <w:rFonts w:ascii="Times New Roman" w:hAnsi="Times New Roman"/>
          <w:sz w:val="24"/>
        </w:rPr>
        <w:tab/>
      </w:r>
      <w:r w:rsidR="00143EB7" w:rsidRPr="00700CDD">
        <w:rPr>
          <w:rFonts w:ascii="Times New Roman" w:hAnsi="Times New Roman"/>
          <w:sz w:val="24"/>
        </w:rPr>
        <w:t xml:space="preserve">         </w:t>
      </w:r>
      <w:r w:rsidR="00A3755E" w:rsidRPr="00700CDD">
        <w:rPr>
          <w:rFonts w:ascii="Times New Roman" w:hAnsi="Times New Roman"/>
          <w:sz w:val="24"/>
        </w:rPr>
        <w:t xml:space="preserve">      </w:t>
      </w:r>
      <w:r w:rsidR="006A46FA" w:rsidRPr="00700CDD">
        <w:rPr>
          <w:rFonts w:ascii="Times New Roman" w:hAnsi="Times New Roman"/>
          <w:sz w:val="24"/>
        </w:rPr>
        <w:t>izv.</w:t>
      </w:r>
      <w:r w:rsidRPr="00700CDD">
        <w:rPr>
          <w:rFonts w:ascii="Times New Roman" w:hAnsi="Times New Roman"/>
          <w:sz w:val="24"/>
        </w:rPr>
        <w:t xml:space="preserve">prof.dr.sc. </w:t>
      </w:r>
      <w:r w:rsidR="006A46FA" w:rsidRPr="00700CDD">
        <w:rPr>
          <w:rFonts w:ascii="Times New Roman" w:hAnsi="Times New Roman"/>
          <w:sz w:val="24"/>
        </w:rPr>
        <w:t>Ante Lončarić</w:t>
      </w:r>
    </w:p>
    <w:p w14:paraId="3982FBD8" w14:textId="77777777" w:rsidR="00F67FD8" w:rsidRPr="00700CDD" w:rsidRDefault="00F67FD8"/>
    <w:sectPr w:rsidR="00F67FD8" w:rsidRPr="00700CD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6ABB9" w14:textId="77777777" w:rsidR="009E763B" w:rsidRDefault="009E763B" w:rsidP="00AD2246">
      <w:pPr>
        <w:spacing w:after="0" w:line="240" w:lineRule="auto"/>
      </w:pPr>
      <w:r>
        <w:separator/>
      </w:r>
    </w:p>
  </w:endnote>
  <w:endnote w:type="continuationSeparator" w:id="0">
    <w:p w14:paraId="078BA573" w14:textId="77777777" w:rsidR="009E763B" w:rsidRDefault="009E763B" w:rsidP="00AD2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A237D" w14:textId="77777777" w:rsidR="009E763B" w:rsidRDefault="009E763B" w:rsidP="00AD2246">
      <w:pPr>
        <w:spacing w:after="0" w:line="240" w:lineRule="auto"/>
      </w:pPr>
      <w:r>
        <w:separator/>
      </w:r>
    </w:p>
  </w:footnote>
  <w:footnote w:type="continuationSeparator" w:id="0">
    <w:p w14:paraId="18195EEF" w14:textId="77777777" w:rsidR="009E763B" w:rsidRDefault="009E763B" w:rsidP="00AD2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2C94"/>
    <w:multiLevelType w:val="hybridMultilevel"/>
    <w:tmpl w:val="EFCCED7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92168D"/>
    <w:multiLevelType w:val="multilevel"/>
    <w:tmpl w:val="9566E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0D604F"/>
    <w:multiLevelType w:val="hybridMultilevel"/>
    <w:tmpl w:val="E1AE5E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81FD0"/>
    <w:multiLevelType w:val="hybridMultilevel"/>
    <w:tmpl w:val="E6167B7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B2"/>
    <w:rsid w:val="00001A6A"/>
    <w:rsid w:val="000030AA"/>
    <w:rsid w:val="00004925"/>
    <w:rsid w:val="00007BD3"/>
    <w:rsid w:val="000119D1"/>
    <w:rsid w:val="000138D1"/>
    <w:rsid w:val="00014A7C"/>
    <w:rsid w:val="000167E0"/>
    <w:rsid w:val="0001763E"/>
    <w:rsid w:val="00022A8D"/>
    <w:rsid w:val="00032EF3"/>
    <w:rsid w:val="00041DB1"/>
    <w:rsid w:val="00043443"/>
    <w:rsid w:val="00050A10"/>
    <w:rsid w:val="00050C43"/>
    <w:rsid w:val="000568B1"/>
    <w:rsid w:val="000617CB"/>
    <w:rsid w:val="0006334E"/>
    <w:rsid w:val="000652C3"/>
    <w:rsid w:val="00070CA8"/>
    <w:rsid w:val="00084BEB"/>
    <w:rsid w:val="0009000E"/>
    <w:rsid w:val="00091063"/>
    <w:rsid w:val="0009355F"/>
    <w:rsid w:val="00093C80"/>
    <w:rsid w:val="000975A9"/>
    <w:rsid w:val="000A3D4D"/>
    <w:rsid w:val="000A3D6C"/>
    <w:rsid w:val="000B194E"/>
    <w:rsid w:val="000C084F"/>
    <w:rsid w:val="000C60BF"/>
    <w:rsid w:val="000D38BF"/>
    <w:rsid w:val="000E1BA6"/>
    <w:rsid w:val="000E3CA2"/>
    <w:rsid w:val="000E6BC0"/>
    <w:rsid w:val="000F1B8A"/>
    <w:rsid w:val="000F2F4C"/>
    <w:rsid w:val="000F4981"/>
    <w:rsid w:val="000F7B8B"/>
    <w:rsid w:val="001007F3"/>
    <w:rsid w:val="00100E30"/>
    <w:rsid w:val="00101AE3"/>
    <w:rsid w:val="00105425"/>
    <w:rsid w:val="00105FC1"/>
    <w:rsid w:val="0010688B"/>
    <w:rsid w:val="00122A13"/>
    <w:rsid w:val="00134411"/>
    <w:rsid w:val="00135BAC"/>
    <w:rsid w:val="00136021"/>
    <w:rsid w:val="00141B3A"/>
    <w:rsid w:val="0014215B"/>
    <w:rsid w:val="00142732"/>
    <w:rsid w:val="0014299D"/>
    <w:rsid w:val="00143EB7"/>
    <w:rsid w:val="00147E2A"/>
    <w:rsid w:val="0015217A"/>
    <w:rsid w:val="00155D58"/>
    <w:rsid w:val="00156585"/>
    <w:rsid w:val="00157D2E"/>
    <w:rsid w:val="00162AFA"/>
    <w:rsid w:val="001658C6"/>
    <w:rsid w:val="001734F0"/>
    <w:rsid w:val="001778C6"/>
    <w:rsid w:val="001828E1"/>
    <w:rsid w:val="00184A3C"/>
    <w:rsid w:val="001853BA"/>
    <w:rsid w:val="00185E89"/>
    <w:rsid w:val="00186E9E"/>
    <w:rsid w:val="00187120"/>
    <w:rsid w:val="0019011A"/>
    <w:rsid w:val="00190253"/>
    <w:rsid w:val="00193E4A"/>
    <w:rsid w:val="00194444"/>
    <w:rsid w:val="001952C4"/>
    <w:rsid w:val="001B185C"/>
    <w:rsid w:val="001B5F30"/>
    <w:rsid w:val="001C03D4"/>
    <w:rsid w:val="001C0BDA"/>
    <w:rsid w:val="001C5913"/>
    <w:rsid w:val="001C6943"/>
    <w:rsid w:val="001D0327"/>
    <w:rsid w:val="001D20AF"/>
    <w:rsid w:val="001D37F8"/>
    <w:rsid w:val="001E0BD9"/>
    <w:rsid w:val="001E2675"/>
    <w:rsid w:val="001E4B0A"/>
    <w:rsid w:val="001E61AE"/>
    <w:rsid w:val="001E7EBC"/>
    <w:rsid w:val="00201666"/>
    <w:rsid w:val="00201809"/>
    <w:rsid w:val="00204CE7"/>
    <w:rsid w:val="00212B14"/>
    <w:rsid w:val="00212D1C"/>
    <w:rsid w:val="002130F1"/>
    <w:rsid w:val="00214D21"/>
    <w:rsid w:val="00220E5E"/>
    <w:rsid w:val="002235EC"/>
    <w:rsid w:val="002236A2"/>
    <w:rsid w:val="002256F4"/>
    <w:rsid w:val="002266C0"/>
    <w:rsid w:val="0022704C"/>
    <w:rsid w:val="00234527"/>
    <w:rsid w:val="00240718"/>
    <w:rsid w:val="00246400"/>
    <w:rsid w:val="002525B5"/>
    <w:rsid w:val="0025530C"/>
    <w:rsid w:val="002573FE"/>
    <w:rsid w:val="00257ABC"/>
    <w:rsid w:val="00263DD7"/>
    <w:rsid w:val="002659D4"/>
    <w:rsid w:val="00265ABC"/>
    <w:rsid w:val="002704C6"/>
    <w:rsid w:val="002723EB"/>
    <w:rsid w:val="00283375"/>
    <w:rsid w:val="002877AA"/>
    <w:rsid w:val="00291779"/>
    <w:rsid w:val="002926C7"/>
    <w:rsid w:val="002943DB"/>
    <w:rsid w:val="00294E9B"/>
    <w:rsid w:val="002A54B2"/>
    <w:rsid w:val="002A7A46"/>
    <w:rsid w:val="002B072E"/>
    <w:rsid w:val="002B2709"/>
    <w:rsid w:val="002B5A18"/>
    <w:rsid w:val="002C1FF7"/>
    <w:rsid w:val="002C2325"/>
    <w:rsid w:val="002C233A"/>
    <w:rsid w:val="002C29D5"/>
    <w:rsid w:val="002C5B13"/>
    <w:rsid w:val="002D0481"/>
    <w:rsid w:val="002D4125"/>
    <w:rsid w:val="002D47A5"/>
    <w:rsid w:val="002E3DE9"/>
    <w:rsid w:val="002E5B8B"/>
    <w:rsid w:val="002F1F79"/>
    <w:rsid w:val="002F3592"/>
    <w:rsid w:val="002F3870"/>
    <w:rsid w:val="002F776C"/>
    <w:rsid w:val="00301C7D"/>
    <w:rsid w:val="00305A38"/>
    <w:rsid w:val="00317EC4"/>
    <w:rsid w:val="00320D9B"/>
    <w:rsid w:val="0032378F"/>
    <w:rsid w:val="00326959"/>
    <w:rsid w:val="003329E3"/>
    <w:rsid w:val="00332CF8"/>
    <w:rsid w:val="0033394C"/>
    <w:rsid w:val="003353B5"/>
    <w:rsid w:val="0033546A"/>
    <w:rsid w:val="0033650C"/>
    <w:rsid w:val="00336E20"/>
    <w:rsid w:val="00341DA4"/>
    <w:rsid w:val="003435A1"/>
    <w:rsid w:val="00344BBF"/>
    <w:rsid w:val="00346270"/>
    <w:rsid w:val="00351BF0"/>
    <w:rsid w:val="003549C1"/>
    <w:rsid w:val="00356696"/>
    <w:rsid w:val="0035686A"/>
    <w:rsid w:val="003601BB"/>
    <w:rsid w:val="003616EB"/>
    <w:rsid w:val="00361C81"/>
    <w:rsid w:val="00363C9C"/>
    <w:rsid w:val="003645AD"/>
    <w:rsid w:val="00370361"/>
    <w:rsid w:val="00371371"/>
    <w:rsid w:val="003714CD"/>
    <w:rsid w:val="00371727"/>
    <w:rsid w:val="00374B9F"/>
    <w:rsid w:val="003805B6"/>
    <w:rsid w:val="00381FDE"/>
    <w:rsid w:val="0038464D"/>
    <w:rsid w:val="00395D14"/>
    <w:rsid w:val="00397E63"/>
    <w:rsid w:val="003A38DC"/>
    <w:rsid w:val="003A5D42"/>
    <w:rsid w:val="003A6434"/>
    <w:rsid w:val="003B0F3F"/>
    <w:rsid w:val="003B1BDB"/>
    <w:rsid w:val="003B27B1"/>
    <w:rsid w:val="003B2B43"/>
    <w:rsid w:val="003C07EB"/>
    <w:rsid w:val="003C128F"/>
    <w:rsid w:val="003C1B70"/>
    <w:rsid w:val="003C25C0"/>
    <w:rsid w:val="003C6359"/>
    <w:rsid w:val="003C6A5A"/>
    <w:rsid w:val="003D0BFD"/>
    <w:rsid w:val="003E5F0B"/>
    <w:rsid w:val="003E68D9"/>
    <w:rsid w:val="003E6B1F"/>
    <w:rsid w:val="003F30BE"/>
    <w:rsid w:val="003F3221"/>
    <w:rsid w:val="003F3290"/>
    <w:rsid w:val="0040111A"/>
    <w:rsid w:val="004021D8"/>
    <w:rsid w:val="004058CF"/>
    <w:rsid w:val="0041599A"/>
    <w:rsid w:val="00423207"/>
    <w:rsid w:val="00426269"/>
    <w:rsid w:val="00427424"/>
    <w:rsid w:val="00443917"/>
    <w:rsid w:val="004505C8"/>
    <w:rsid w:val="00450B99"/>
    <w:rsid w:val="00453757"/>
    <w:rsid w:val="004537C8"/>
    <w:rsid w:val="004572E3"/>
    <w:rsid w:val="00463576"/>
    <w:rsid w:val="004637D7"/>
    <w:rsid w:val="00466638"/>
    <w:rsid w:val="0047341A"/>
    <w:rsid w:val="0047419D"/>
    <w:rsid w:val="0048192A"/>
    <w:rsid w:val="004823C7"/>
    <w:rsid w:val="00482738"/>
    <w:rsid w:val="0048460E"/>
    <w:rsid w:val="00484708"/>
    <w:rsid w:val="00485778"/>
    <w:rsid w:val="00485C4E"/>
    <w:rsid w:val="00485F8B"/>
    <w:rsid w:val="004929FC"/>
    <w:rsid w:val="0049496F"/>
    <w:rsid w:val="004A390C"/>
    <w:rsid w:val="004A4B21"/>
    <w:rsid w:val="004A628B"/>
    <w:rsid w:val="004B75AC"/>
    <w:rsid w:val="004C5766"/>
    <w:rsid w:val="004D446D"/>
    <w:rsid w:val="004D7362"/>
    <w:rsid w:val="004E1BED"/>
    <w:rsid w:val="004E205D"/>
    <w:rsid w:val="004F0AC2"/>
    <w:rsid w:val="004F0DC0"/>
    <w:rsid w:val="004F4F66"/>
    <w:rsid w:val="004F598A"/>
    <w:rsid w:val="004F6F41"/>
    <w:rsid w:val="00506AFF"/>
    <w:rsid w:val="005072D6"/>
    <w:rsid w:val="00513987"/>
    <w:rsid w:val="0051518A"/>
    <w:rsid w:val="00517F1F"/>
    <w:rsid w:val="00521497"/>
    <w:rsid w:val="0053043C"/>
    <w:rsid w:val="00533A4F"/>
    <w:rsid w:val="0054091F"/>
    <w:rsid w:val="005410FE"/>
    <w:rsid w:val="00546258"/>
    <w:rsid w:val="00551846"/>
    <w:rsid w:val="0056335A"/>
    <w:rsid w:val="00563B14"/>
    <w:rsid w:val="00565431"/>
    <w:rsid w:val="00565FCE"/>
    <w:rsid w:val="00567232"/>
    <w:rsid w:val="0057152E"/>
    <w:rsid w:val="00571CE8"/>
    <w:rsid w:val="00572ECB"/>
    <w:rsid w:val="00574A52"/>
    <w:rsid w:val="0057589B"/>
    <w:rsid w:val="005762FE"/>
    <w:rsid w:val="00580D43"/>
    <w:rsid w:val="00580FC2"/>
    <w:rsid w:val="00587C08"/>
    <w:rsid w:val="00590F59"/>
    <w:rsid w:val="005945B0"/>
    <w:rsid w:val="00594E00"/>
    <w:rsid w:val="005A020A"/>
    <w:rsid w:val="005A54D5"/>
    <w:rsid w:val="005B0C37"/>
    <w:rsid w:val="005B5649"/>
    <w:rsid w:val="005B786B"/>
    <w:rsid w:val="005C3280"/>
    <w:rsid w:val="005D3D96"/>
    <w:rsid w:val="005D72BE"/>
    <w:rsid w:val="005E31EF"/>
    <w:rsid w:val="005E4C7A"/>
    <w:rsid w:val="005E56C6"/>
    <w:rsid w:val="005E57B4"/>
    <w:rsid w:val="005F1323"/>
    <w:rsid w:val="005F44D7"/>
    <w:rsid w:val="006039BC"/>
    <w:rsid w:val="0060590F"/>
    <w:rsid w:val="0061001B"/>
    <w:rsid w:val="00612778"/>
    <w:rsid w:val="00617DE8"/>
    <w:rsid w:val="00621251"/>
    <w:rsid w:val="00622E8A"/>
    <w:rsid w:val="00625BB6"/>
    <w:rsid w:val="006315F4"/>
    <w:rsid w:val="00650516"/>
    <w:rsid w:val="00660484"/>
    <w:rsid w:val="006616AF"/>
    <w:rsid w:val="0066275B"/>
    <w:rsid w:val="006639C1"/>
    <w:rsid w:val="006643EB"/>
    <w:rsid w:val="00664620"/>
    <w:rsid w:val="00667D63"/>
    <w:rsid w:val="00670FD3"/>
    <w:rsid w:val="00687D77"/>
    <w:rsid w:val="00694526"/>
    <w:rsid w:val="00694A09"/>
    <w:rsid w:val="006A1556"/>
    <w:rsid w:val="006A16BA"/>
    <w:rsid w:val="006A4372"/>
    <w:rsid w:val="006A46FA"/>
    <w:rsid w:val="006A513F"/>
    <w:rsid w:val="006A5649"/>
    <w:rsid w:val="006A593A"/>
    <w:rsid w:val="006A6926"/>
    <w:rsid w:val="006B088F"/>
    <w:rsid w:val="006B21AD"/>
    <w:rsid w:val="006B2D19"/>
    <w:rsid w:val="006B369B"/>
    <w:rsid w:val="006B3B9F"/>
    <w:rsid w:val="006B4D89"/>
    <w:rsid w:val="006B5062"/>
    <w:rsid w:val="006B5A41"/>
    <w:rsid w:val="006B607D"/>
    <w:rsid w:val="006C1405"/>
    <w:rsid w:val="006D10DE"/>
    <w:rsid w:val="006E27A0"/>
    <w:rsid w:val="006E31EF"/>
    <w:rsid w:val="006E323F"/>
    <w:rsid w:val="006F7B61"/>
    <w:rsid w:val="00700CDD"/>
    <w:rsid w:val="0070160A"/>
    <w:rsid w:val="00702ADC"/>
    <w:rsid w:val="00703C71"/>
    <w:rsid w:val="0071012A"/>
    <w:rsid w:val="00710BAF"/>
    <w:rsid w:val="0071204A"/>
    <w:rsid w:val="007149C5"/>
    <w:rsid w:val="00716105"/>
    <w:rsid w:val="00717032"/>
    <w:rsid w:val="007178DC"/>
    <w:rsid w:val="0072002B"/>
    <w:rsid w:val="00720553"/>
    <w:rsid w:val="00730B0F"/>
    <w:rsid w:val="0073168A"/>
    <w:rsid w:val="00735A90"/>
    <w:rsid w:val="00736513"/>
    <w:rsid w:val="00737765"/>
    <w:rsid w:val="007379E6"/>
    <w:rsid w:val="00740F82"/>
    <w:rsid w:val="00741F8A"/>
    <w:rsid w:val="00753BAC"/>
    <w:rsid w:val="00754461"/>
    <w:rsid w:val="0075493B"/>
    <w:rsid w:val="00755F23"/>
    <w:rsid w:val="00760E04"/>
    <w:rsid w:val="00763EBD"/>
    <w:rsid w:val="007716B4"/>
    <w:rsid w:val="00772890"/>
    <w:rsid w:val="00774B7D"/>
    <w:rsid w:val="00776246"/>
    <w:rsid w:val="00784F30"/>
    <w:rsid w:val="00785F06"/>
    <w:rsid w:val="007872F8"/>
    <w:rsid w:val="0079133F"/>
    <w:rsid w:val="00792DA0"/>
    <w:rsid w:val="00795515"/>
    <w:rsid w:val="007957E3"/>
    <w:rsid w:val="007A32F1"/>
    <w:rsid w:val="007A4478"/>
    <w:rsid w:val="007B05A7"/>
    <w:rsid w:val="007B159C"/>
    <w:rsid w:val="007B1BB4"/>
    <w:rsid w:val="007B2499"/>
    <w:rsid w:val="007B5765"/>
    <w:rsid w:val="007C0489"/>
    <w:rsid w:val="007C1AF0"/>
    <w:rsid w:val="007C64DF"/>
    <w:rsid w:val="007C7F21"/>
    <w:rsid w:val="007D3B9E"/>
    <w:rsid w:val="007D43B3"/>
    <w:rsid w:val="007D5688"/>
    <w:rsid w:val="007D75CB"/>
    <w:rsid w:val="007E132D"/>
    <w:rsid w:val="007E2E38"/>
    <w:rsid w:val="007E2F36"/>
    <w:rsid w:val="007E7B4A"/>
    <w:rsid w:val="007F0933"/>
    <w:rsid w:val="007F1289"/>
    <w:rsid w:val="007F1A5E"/>
    <w:rsid w:val="007F1BE6"/>
    <w:rsid w:val="007F565B"/>
    <w:rsid w:val="007F6551"/>
    <w:rsid w:val="007F7EF2"/>
    <w:rsid w:val="0080074F"/>
    <w:rsid w:val="00801A4E"/>
    <w:rsid w:val="0080529D"/>
    <w:rsid w:val="00806B74"/>
    <w:rsid w:val="00810972"/>
    <w:rsid w:val="0081099A"/>
    <w:rsid w:val="00810AAF"/>
    <w:rsid w:val="00811C5F"/>
    <w:rsid w:val="00813154"/>
    <w:rsid w:val="008165F1"/>
    <w:rsid w:val="00821255"/>
    <w:rsid w:val="00826BA2"/>
    <w:rsid w:val="00841297"/>
    <w:rsid w:val="00844EC5"/>
    <w:rsid w:val="00845B36"/>
    <w:rsid w:val="00847134"/>
    <w:rsid w:val="0086067C"/>
    <w:rsid w:val="00861A8B"/>
    <w:rsid w:val="00861BAE"/>
    <w:rsid w:val="008702E7"/>
    <w:rsid w:val="00875D86"/>
    <w:rsid w:val="008767CD"/>
    <w:rsid w:val="00877B2C"/>
    <w:rsid w:val="00883978"/>
    <w:rsid w:val="00884C83"/>
    <w:rsid w:val="00885DD1"/>
    <w:rsid w:val="0088605F"/>
    <w:rsid w:val="0088626D"/>
    <w:rsid w:val="008873AF"/>
    <w:rsid w:val="00887ACC"/>
    <w:rsid w:val="0089109B"/>
    <w:rsid w:val="008939CD"/>
    <w:rsid w:val="00897B46"/>
    <w:rsid w:val="008A1551"/>
    <w:rsid w:val="008A22E5"/>
    <w:rsid w:val="008A5D74"/>
    <w:rsid w:val="008B514F"/>
    <w:rsid w:val="008B66A4"/>
    <w:rsid w:val="008B66FC"/>
    <w:rsid w:val="008C226C"/>
    <w:rsid w:val="008C7F04"/>
    <w:rsid w:val="008D3F47"/>
    <w:rsid w:val="008D6113"/>
    <w:rsid w:val="008E260B"/>
    <w:rsid w:val="008E28D5"/>
    <w:rsid w:val="008E631B"/>
    <w:rsid w:val="008F56D1"/>
    <w:rsid w:val="008F6B7D"/>
    <w:rsid w:val="008F7AB0"/>
    <w:rsid w:val="00911683"/>
    <w:rsid w:val="00911FC8"/>
    <w:rsid w:val="00913508"/>
    <w:rsid w:val="0091420F"/>
    <w:rsid w:val="00914978"/>
    <w:rsid w:val="0091550D"/>
    <w:rsid w:val="009172EF"/>
    <w:rsid w:val="00932C0B"/>
    <w:rsid w:val="00936778"/>
    <w:rsid w:val="00937485"/>
    <w:rsid w:val="009438DE"/>
    <w:rsid w:val="00944288"/>
    <w:rsid w:val="00950FA0"/>
    <w:rsid w:val="00952224"/>
    <w:rsid w:val="0095398A"/>
    <w:rsid w:val="00954F62"/>
    <w:rsid w:val="00955BE5"/>
    <w:rsid w:val="00971FC9"/>
    <w:rsid w:val="00975C87"/>
    <w:rsid w:val="00982DF0"/>
    <w:rsid w:val="00984712"/>
    <w:rsid w:val="00984D22"/>
    <w:rsid w:val="00985D74"/>
    <w:rsid w:val="00985E68"/>
    <w:rsid w:val="0098704A"/>
    <w:rsid w:val="00987891"/>
    <w:rsid w:val="009A471C"/>
    <w:rsid w:val="009B05D4"/>
    <w:rsid w:val="009B075C"/>
    <w:rsid w:val="009B28A6"/>
    <w:rsid w:val="009C0E1C"/>
    <w:rsid w:val="009C172B"/>
    <w:rsid w:val="009C5CD7"/>
    <w:rsid w:val="009C69C8"/>
    <w:rsid w:val="009C791F"/>
    <w:rsid w:val="009D4CE6"/>
    <w:rsid w:val="009D6DC4"/>
    <w:rsid w:val="009D7632"/>
    <w:rsid w:val="009E0A3C"/>
    <w:rsid w:val="009E2094"/>
    <w:rsid w:val="009E3DED"/>
    <w:rsid w:val="009E763B"/>
    <w:rsid w:val="009F02C9"/>
    <w:rsid w:val="009F257B"/>
    <w:rsid w:val="009F5529"/>
    <w:rsid w:val="00A11435"/>
    <w:rsid w:val="00A12EFF"/>
    <w:rsid w:val="00A14BD4"/>
    <w:rsid w:val="00A14D93"/>
    <w:rsid w:val="00A16E66"/>
    <w:rsid w:val="00A3011A"/>
    <w:rsid w:val="00A32806"/>
    <w:rsid w:val="00A37516"/>
    <w:rsid w:val="00A3755E"/>
    <w:rsid w:val="00A37D90"/>
    <w:rsid w:val="00A40F80"/>
    <w:rsid w:val="00A5537F"/>
    <w:rsid w:val="00A57109"/>
    <w:rsid w:val="00A62FD3"/>
    <w:rsid w:val="00A648E3"/>
    <w:rsid w:val="00A70A2E"/>
    <w:rsid w:val="00A75133"/>
    <w:rsid w:val="00A75E81"/>
    <w:rsid w:val="00A807D4"/>
    <w:rsid w:val="00A84E8B"/>
    <w:rsid w:val="00A91A24"/>
    <w:rsid w:val="00A931FC"/>
    <w:rsid w:val="00A932BC"/>
    <w:rsid w:val="00A93CA9"/>
    <w:rsid w:val="00A95B4A"/>
    <w:rsid w:val="00A96D4D"/>
    <w:rsid w:val="00A9783B"/>
    <w:rsid w:val="00AA0C57"/>
    <w:rsid w:val="00AA2A8F"/>
    <w:rsid w:val="00AA392B"/>
    <w:rsid w:val="00AA3FB4"/>
    <w:rsid w:val="00AB44B8"/>
    <w:rsid w:val="00AC0A16"/>
    <w:rsid w:val="00AC4266"/>
    <w:rsid w:val="00AC51A9"/>
    <w:rsid w:val="00AC54C6"/>
    <w:rsid w:val="00AD2246"/>
    <w:rsid w:val="00AD2A25"/>
    <w:rsid w:val="00AD3D25"/>
    <w:rsid w:val="00AE47E0"/>
    <w:rsid w:val="00AE576D"/>
    <w:rsid w:val="00AE747E"/>
    <w:rsid w:val="00AF0788"/>
    <w:rsid w:val="00AF2DFB"/>
    <w:rsid w:val="00AF3C1C"/>
    <w:rsid w:val="00AF5B97"/>
    <w:rsid w:val="00B00853"/>
    <w:rsid w:val="00B00B0D"/>
    <w:rsid w:val="00B01284"/>
    <w:rsid w:val="00B07542"/>
    <w:rsid w:val="00B076F0"/>
    <w:rsid w:val="00B16ED5"/>
    <w:rsid w:val="00B200AD"/>
    <w:rsid w:val="00B2118B"/>
    <w:rsid w:val="00B21B03"/>
    <w:rsid w:val="00B23F45"/>
    <w:rsid w:val="00B24212"/>
    <w:rsid w:val="00B26F90"/>
    <w:rsid w:val="00B279FE"/>
    <w:rsid w:val="00B27A1D"/>
    <w:rsid w:val="00B3173A"/>
    <w:rsid w:val="00B33EEB"/>
    <w:rsid w:val="00B36F1B"/>
    <w:rsid w:val="00B37E35"/>
    <w:rsid w:val="00B37F71"/>
    <w:rsid w:val="00B409DB"/>
    <w:rsid w:val="00B52DF3"/>
    <w:rsid w:val="00B53C29"/>
    <w:rsid w:val="00B5597E"/>
    <w:rsid w:val="00B56C00"/>
    <w:rsid w:val="00B612F4"/>
    <w:rsid w:val="00B639C8"/>
    <w:rsid w:val="00B65413"/>
    <w:rsid w:val="00B65481"/>
    <w:rsid w:val="00B6688F"/>
    <w:rsid w:val="00B70F4C"/>
    <w:rsid w:val="00B70F95"/>
    <w:rsid w:val="00B7643F"/>
    <w:rsid w:val="00B775BD"/>
    <w:rsid w:val="00B77AD7"/>
    <w:rsid w:val="00B77ED5"/>
    <w:rsid w:val="00B81B3E"/>
    <w:rsid w:val="00B86845"/>
    <w:rsid w:val="00B94A89"/>
    <w:rsid w:val="00B962B8"/>
    <w:rsid w:val="00B9751E"/>
    <w:rsid w:val="00BA0F97"/>
    <w:rsid w:val="00BA1D45"/>
    <w:rsid w:val="00BA50D7"/>
    <w:rsid w:val="00BB1729"/>
    <w:rsid w:val="00BB1B5D"/>
    <w:rsid w:val="00BC0A84"/>
    <w:rsid w:val="00BC442A"/>
    <w:rsid w:val="00BC5930"/>
    <w:rsid w:val="00BC6EAB"/>
    <w:rsid w:val="00BD3EB5"/>
    <w:rsid w:val="00BD6EE2"/>
    <w:rsid w:val="00BE0155"/>
    <w:rsid w:val="00BE1ABF"/>
    <w:rsid w:val="00BE47B0"/>
    <w:rsid w:val="00BF0199"/>
    <w:rsid w:val="00BF400E"/>
    <w:rsid w:val="00BF4D4F"/>
    <w:rsid w:val="00C00E18"/>
    <w:rsid w:val="00C02071"/>
    <w:rsid w:val="00C032C9"/>
    <w:rsid w:val="00C07351"/>
    <w:rsid w:val="00C13A9C"/>
    <w:rsid w:val="00C21CB7"/>
    <w:rsid w:val="00C23DEC"/>
    <w:rsid w:val="00C311E7"/>
    <w:rsid w:val="00C35498"/>
    <w:rsid w:val="00C35926"/>
    <w:rsid w:val="00C4206B"/>
    <w:rsid w:val="00C42142"/>
    <w:rsid w:val="00C440E7"/>
    <w:rsid w:val="00C466E4"/>
    <w:rsid w:val="00C578F8"/>
    <w:rsid w:val="00C62B4F"/>
    <w:rsid w:val="00C76AA1"/>
    <w:rsid w:val="00C76EE3"/>
    <w:rsid w:val="00C926E4"/>
    <w:rsid w:val="00C94BBA"/>
    <w:rsid w:val="00CA17C4"/>
    <w:rsid w:val="00CA1F83"/>
    <w:rsid w:val="00CA6F77"/>
    <w:rsid w:val="00CA7791"/>
    <w:rsid w:val="00CB0F00"/>
    <w:rsid w:val="00CB346F"/>
    <w:rsid w:val="00CC3428"/>
    <w:rsid w:val="00CC550F"/>
    <w:rsid w:val="00CD0CAC"/>
    <w:rsid w:val="00CD1797"/>
    <w:rsid w:val="00CD2ECD"/>
    <w:rsid w:val="00CD3C98"/>
    <w:rsid w:val="00CD70CA"/>
    <w:rsid w:val="00CE038D"/>
    <w:rsid w:val="00CE1C60"/>
    <w:rsid w:val="00CE1D74"/>
    <w:rsid w:val="00CE5ED7"/>
    <w:rsid w:val="00CE7E79"/>
    <w:rsid w:val="00CF3EF1"/>
    <w:rsid w:val="00CF6849"/>
    <w:rsid w:val="00D030C0"/>
    <w:rsid w:val="00D03D80"/>
    <w:rsid w:val="00D059FF"/>
    <w:rsid w:val="00D07D4A"/>
    <w:rsid w:val="00D107DF"/>
    <w:rsid w:val="00D10BCA"/>
    <w:rsid w:val="00D11B43"/>
    <w:rsid w:val="00D24423"/>
    <w:rsid w:val="00D30F2A"/>
    <w:rsid w:val="00D31B15"/>
    <w:rsid w:val="00D361C0"/>
    <w:rsid w:val="00D41A5C"/>
    <w:rsid w:val="00D45614"/>
    <w:rsid w:val="00D465AA"/>
    <w:rsid w:val="00D471BB"/>
    <w:rsid w:val="00D53950"/>
    <w:rsid w:val="00D55E78"/>
    <w:rsid w:val="00D604D9"/>
    <w:rsid w:val="00D71399"/>
    <w:rsid w:val="00D71CE9"/>
    <w:rsid w:val="00D730B1"/>
    <w:rsid w:val="00D80B22"/>
    <w:rsid w:val="00D860E8"/>
    <w:rsid w:val="00D909BE"/>
    <w:rsid w:val="00D934C7"/>
    <w:rsid w:val="00D954BB"/>
    <w:rsid w:val="00D965CC"/>
    <w:rsid w:val="00D970E1"/>
    <w:rsid w:val="00DA0933"/>
    <w:rsid w:val="00DA1799"/>
    <w:rsid w:val="00DA5648"/>
    <w:rsid w:val="00DA71D3"/>
    <w:rsid w:val="00DB1AAF"/>
    <w:rsid w:val="00DB4CF9"/>
    <w:rsid w:val="00DB54F5"/>
    <w:rsid w:val="00DC03EB"/>
    <w:rsid w:val="00DC73B8"/>
    <w:rsid w:val="00DD4ECF"/>
    <w:rsid w:val="00DD6033"/>
    <w:rsid w:val="00DD6B54"/>
    <w:rsid w:val="00DE1396"/>
    <w:rsid w:val="00DE6949"/>
    <w:rsid w:val="00DE6E3E"/>
    <w:rsid w:val="00E00C79"/>
    <w:rsid w:val="00E022A1"/>
    <w:rsid w:val="00E20A40"/>
    <w:rsid w:val="00E22756"/>
    <w:rsid w:val="00E24450"/>
    <w:rsid w:val="00E3505B"/>
    <w:rsid w:val="00E36454"/>
    <w:rsid w:val="00E42BB6"/>
    <w:rsid w:val="00E42DD0"/>
    <w:rsid w:val="00E434B0"/>
    <w:rsid w:val="00E4438E"/>
    <w:rsid w:val="00E447B3"/>
    <w:rsid w:val="00E477FE"/>
    <w:rsid w:val="00E47992"/>
    <w:rsid w:val="00E5445A"/>
    <w:rsid w:val="00E63916"/>
    <w:rsid w:val="00E64C4F"/>
    <w:rsid w:val="00E71378"/>
    <w:rsid w:val="00E72762"/>
    <w:rsid w:val="00E72BA8"/>
    <w:rsid w:val="00E737A7"/>
    <w:rsid w:val="00E73CAD"/>
    <w:rsid w:val="00E753A9"/>
    <w:rsid w:val="00E92251"/>
    <w:rsid w:val="00E9756C"/>
    <w:rsid w:val="00E97F5E"/>
    <w:rsid w:val="00EA062D"/>
    <w:rsid w:val="00EA17EE"/>
    <w:rsid w:val="00EA45DF"/>
    <w:rsid w:val="00EA5941"/>
    <w:rsid w:val="00EB2569"/>
    <w:rsid w:val="00EB278D"/>
    <w:rsid w:val="00EB4789"/>
    <w:rsid w:val="00EC58D6"/>
    <w:rsid w:val="00EC65D8"/>
    <w:rsid w:val="00ED07F6"/>
    <w:rsid w:val="00ED17E8"/>
    <w:rsid w:val="00ED3437"/>
    <w:rsid w:val="00ED6E38"/>
    <w:rsid w:val="00EE0511"/>
    <w:rsid w:val="00EE18AC"/>
    <w:rsid w:val="00EE2701"/>
    <w:rsid w:val="00EE355A"/>
    <w:rsid w:val="00EE545F"/>
    <w:rsid w:val="00EE7E91"/>
    <w:rsid w:val="00EF0938"/>
    <w:rsid w:val="00EF119A"/>
    <w:rsid w:val="00EF1502"/>
    <w:rsid w:val="00EF3845"/>
    <w:rsid w:val="00F06500"/>
    <w:rsid w:val="00F07247"/>
    <w:rsid w:val="00F17073"/>
    <w:rsid w:val="00F170D6"/>
    <w:rsid w:val="00F24EB2"/>
    <w:rsid w:val="00F25028"/>
    <w:rsid w:val="00F41CB5"/>
    <w:rsid w:val="00F430CB"/>
    <w:rsid w:val="00F43FBB"/>
    <w:rsid w:val="00F47602"/>
    <w:rsid w:val="00F5120F"/>
    <w:rsid w:val="00F520AC"/>
    <w:rsid w:val="00F61606"/>
    <w:rsid w:val="00F65DCC"/>
    <w:rsid w:val="00F67FD8"/>
    <w:rsid w:val="00F73D0E"/>
    <w:rsid w:val="00F74011"/>
    <w:rsid w:val="00F750AD"/>
    <w:rsid w:val="00F77320"/>
    <w:rsid w:val="00F82A17"/>
    <w:rsid w:val="00F82BBF"/>
    <w:rsid w:val="00F856EA"/>
    <w:rsid w:val="00F86EAC"/>
    <w:rsid w:val="00F90386"/>
    <w:rsid w:val="00F905FC"/>
    <w:rsid w:val="00F9370A"/>
    <w:rsid w:val="00FA5C9E"/>
    <w:rsid w:val="00FB20BF"/>
    <w:rsid w:val="00FC1E4E"/>
    <w:rsid w:val="00FC26CB"/>
    <w:rsid w:val="00FC2ABE"/>
    <w:rsid w:val="00FC2CCC"/>
    <w:rsid w:val="00FD4FB6"/>
    <w:rsid w:val="00FD728C"/>
    <w:rsid w:val="00FD7522"/>
    <w:rsid w:val="00FE2CDB"/>
    <w:rsid w:val="00FE2DFA"/>
    <w:rsid w:val="00FE5D80"/>
    <w:rsid w:val="00FF008D"/>
    <w:rsid w:val="00FF0163"/>
    <w:rsid w:val="00FF0DF2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9AFC3A"/>
  <w14:defaultImageDpi w14:val="0"/>
  <w15:docId w15:val="{5FBE5997-8176-4BA8-B9AF-B19AEC11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224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AD2246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AD224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AD2246"/>
    <w:rPr>
      <w:rFonts w:cs="Times New Roman"/>
    </w:rPr>
  </w:style>
  <w:style w:type="table" w:styleId="Reetkatablice">
    <w:name w:val="Table Grid"/>
    <w:basedOn w:val="Obinatablica"/>
    <w:uiPriority w:val="59"/>
    <w:rsid w:val="00DB4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91550D"/>
    <w:pPr>
      <w:spacing w:after="0" w:line="240" w:lineRule="auto"/>
    </w:pPr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F17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2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6</Pages>
  <Words>1525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maja.cabraja</dc:creator>
  <cp:keywords/>
  <dc:description/>
  <cp:lastModifiedBy>Maja Čabraja</cp:lastModifiedBy>
  <cp:revision>598</cp:revision>
  <cp:lastPrinted>2022-09-26T12:33:00Z</cp:lastPrinted>
  <dcterms:created xsi:type="dcterms:W3CDTF">2023-10-04T08:23:00Z</dcterms:created>
  <dcterms:modified xsi:type="dcterms:W3CDTF">2025-12-18T13:04:00Z</dcterms:modified>
</cp:coreProperties>
</file>